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581902" w14:textId="02BF8B3C" w:rsidR="00394C6C" w:rsidRPr="00394C6C" w:rsidRDefault="0085001F" w:rsidP="00394C6C">
      <w:pPr>
        <w:widowControl w:val="0"/>
        <w:tabs>
          <w:tab w:val="left" w:pos="1701"/>
          <w:tab w:val="right" w:pos="9923"/>
        </w:tabs>
        <w:spacing w:before="120" w:after="0"/>
        <w:rPr>
          <w:rFonts w:cs="Times New Roman"/>
          <w:b/>
          <w:sz w:val="24"/>
          <w:lang w:val="de-DE" w:eastAsia="x-none"/>
        </w:rPr>
      </w:pPr>
      <w:bookmarkStart w:id="0" w:name="_Hlk131539195"/>
      <w:r>
        <w:rPr>
          <w:rFonts w:cs="Times New Roman"/>
          <w:b/>
          <w:sz w:val="24"/>
          <w:lang w:val="de-DE" w:eastAsia="x-none"/>
        </w:rPr>
        <w:t>3GPP TSG-RAN WG2 Meeting #129</w:t>
      </w:r>
      <w:r w:rsidR="0028322D">
        <w:rPr>
          <w:rFonts w:cs="Times New Roman"/>
          <w:b/>
          <w:sz w:val="24"/>
          <w:lang w:val="de-DE" w:eastAsia="x-none"/>
        </w:rPr>
        <w:t>bis</w:t>
      </w:r>
      <w:r w:rsidR="00394C6C" w:rsidRPr="00394C6C">
        <w:rPr>
          <w:rFonts w:cs="Times New Roman"/>
          <w:b/>
          <w:sz w:val="24"/>
          <w:lang w:val="de-DE" w:eastAsia="x-none"/>
        </w:rPr>
        <w:tab/>
      </w:r>
      <w:r w:rsidR="00D6674C" w:rsidRPr="00D6674C">
        <w:rPr>
          <w:rFonts w:cs="Times New Roman"/>
          <w:b/>
          <w:sz w:val="24"/>
          <w:lang w:val="de-DE" w:eastAsia="x-none"/>
        </w:rPr>
        <w:t>R2-250</w:t>
      </w:r>
      <w:r w:rsidR="0040325A">
        <w:rPr>
          <w:rFonts w:cs="Times New Roman"/>
          <w:b/>
          <w:sz w:val="24"/>
          <w:lang w:val="de-DE" w:eastAsia="x-none"/>
        </w:rPr>
        <w:t>2439</w:t>
      </w:r>
    </w:p>
    <w:p w14:paraId="11776FA6" w14:textId="00480B4D" w:rsidR="00A209D6" w:rsidRPr="00465587" w:rsidRDefault="0028322D" w:rsidP="00E94277">
      <w:pPr>
        <w:pStyle w:val="Header"/>
        <w:tabs>
          <w:tab w:val="right" w:pos="9639"/>
        </w:tabs>
        <w:rPr>
          <w:bCs/>
          <w:sz w:val="24"/>
          <w:szCs w:val="24"/>
          <w:lang w:eastAsia="zh-CN"/>
        </w:rPr>
      </w:pPr>
      <w:r>
        <w:rPr>
          <w:rFonts w:eastAsia="MS Mincho"/>
          <w:noProof w:val="0"/>
          <w:sz w:val="24"/>
          <w:szCs w:val="24"/>
          <w:lang w:val="de-DE" w:eastAsia="x-none"/>
        </w:rPr>
        <w:t>Wuhan</w:t>
      </w:r>
      <w:r w:rsidR="00815167" w:rsidRPr="00815167">
        <w:rPr>
          <w:rFonts w:eastAsia="MS Mincho"/>
          <w:noProof w:val="0"/>
          <w:sz w:val="24"/>
          <w:szCs w:val="24"/>
          <w:lang w:val="de-DE" w:eastAsia="x-none"/>
        </w:rPr>
        <w:t xml:space="preserve">, </w:t>
      </w:r>
      <w:r>
        <w:rPr>
          <w:rFonts w:eastAsia="MS Mincho"/>
          <w:noProof w:val="0"/>
          <w:sz w:val="24"/>
          <w:szCs w:val="24"/>
          <w:lang w:val="de-DE" w:eastAsia="x-none"/>
        </w:rPr>
        <w:t>China, 7th – 11</w:t>
      </w:r>
      <w:r w:rsidR="00815167" w:rsidRPr="00815167">
        <w:rPr>
          <w:rFonts w:eastAsia="MS Mincho"/>
          <w:noProof w:val="0"/>
          <w:sz w:val="24"/>
          <w:szCs w:val="24"/>
          <w:lang w:val="de-DE" w:eastAsia="x-none"/>
        </w:rPr>
        <w:t>t</w:t>
      </w:r>
      <w:r>
        <w:rPr>
          <w:rFonts w:eastAsia="MS Mincho"/>
          <w:noProof w:val="0"/>
          <w:sz w:val="24"/>
          <w:szCs w:val="24"/>
          <w:lang w:val="de-DE" w:eastAsia="x-none"/>
        </w:rPr>
        <w:t>h</w:t>
      </w:r>
      <w:r w:rsidR="00815167" w:rsidRPr="00815167">
        <w:rPr>
          <w:rFonts w:eastAsia="MS Mincho"/>
          <w:noProof w:val="0"/>
          <w:sz w:val="24"/>
          <w:szCs w:val="24"/>
          <w:lang w:val="de-DE" w:eastAsia="x-none"/>
        </w:rPr>
        <w:t xml:space="preserve"> </w:t>
      </w:r>
      <w:r>
        <w:rPr>
          <w:rFonts w:eastAsia="MS Mincho"/>
          <w:noProof w:val="0"/>
          <w:sz w:val="24"/>
          <w:szCs w:val="24"/>
          <w:lang w:val="de-DE" w:eastAsia="x-none"/>
        </w:rPr>
        <w:t>April</w:t>
      </w:r>
      <w:r w:rsidR="00815167" w:rsidRPr="00815167">
        <w:rPr>
          <w:rFonts w:eastAsia="MS Mincho"/>
          <w:noProof w:val="0"/>
          <w:sz w:val="24"/>
          <w:szCs w:val="24"/>
          <w:lang w:val="de-DE" w:eastAsia="x-none"/>
        </w:rPr>
        <w:t xml:space="preserve"> 2025</w:t>
      </w:r>
      <w:r w:rsidR="00A209D6">
        <w:rPr>
          <w:noProof w:val="0"/>
          <w:sz w:val="24"/>
          <w:szCs w:val="24"/>
          <w:lang w:eastAsia="zh-CN"/>
        </w:rPr>
        <w:tab/>
      </w:r>
    </w:p>
    <w:p w14:paraId="403CB9C0" w14:textId="77777777" w:rsidR="00A209D6" w:rsidRPr="00B266B0" w:rsidRDefault="00A209D6" w:rsidP="00A209D6">
      <w:pPr>
        <w:pStyle w:val="Header"/>
        <w:rPr>
          <w:bCs/>
          <w:noProof w:val="0"/>
          <w:sz w:val="24"/>
        </w:rPr>
      </w:pPr>
    </w:p>
    <w:p w14:paraId="74AEDB1B" w14:textId="687CAA4C"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05261">
        <w:rPr>
          <w:rFonts w:cs="Arial"/>
          <w:b/>
          <w:bCs/>
          <w:sz w:val="24"/>
        </w:rPr>
        <w:t>8.10.</w:t>
      </w:r>
      <w:r w:rsidR="00AC7097">
        <w:rPr>
          <w:rFonts w:cs="Arial"/>
          <w:b/>
          <w:bCs/>
          <w:sz w:val="24"/>
        </w:rPr>
        <w:t>4</w:t>
      </w:r>
    </w:p>
    <w:p w14:paraId="73188B46" w14:textId="03BCCD74"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2F7DE703" w:rsidR="00A209D6"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AC7097" w:rsidRPr="00AC7097">
        <w:rPr>
          <w:rFonts w:eastAsia="SimSun"/>
          <w:b/>
          <w:bCs/>
          <w:sz w:val="24"/>
          <w:szCs w:val="20"/>
          <w:lang w:val="en-GB" w:eastAsia="en-US"/>
        </w:rPr>
        <w:t>SON/MDT for NTN</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61460B43" w:rsidR="00A209D6" w:rsidRDefault="00A209D6" w:rsidP="00A209D6">
      <w:pPr>
        <w:pStyle w:val="Heading1"/>
      </w:pPr>
      <w:r>
        <w:t>Introduction</w:t>
      </w:r>
    </w:p>
    <w:p w14:paraId="572AE593" w14:textId="54044FE9" w:rsidR="00C772A8" w:rsidRPr="00C772A8" w:rsidRDefault="00C772A8" w:rsidP="00C772A8">
      <w:pPr>
        <w:rPr>
          <w:lang w:val="en-GB" w:eastAsia="en-US"/>
        </w:rPr>
      </w:pPr>
      <w:r w:rsidRPr="00C772A8">
        <w:rPr>
          <w:lang w:val="en-GB" w:eastAsia="en-US"/>
        </w:rPr>
        <w:t xml:space="preserve">One of the objectives for Rel-19 SON/MDT WI [1] is to support </w:t>
      </w:r>
      <w:r w:rsidRPr="00C772A8">
        <w:rPr>
          <w:rFonts w:eastAsia="SimSun"/>
        </w:rPr>
        <w:t>SON/MDT enhanceme</w:t>
      </w:r>
      <w:r w:rsidR="00162E2C">
        <w:rPr>
          <w:rFonts w:eastAsia="SimSun"/>
        </w:rPr>
        <w:t>nts for Intra-NTN mobility. RAN3</w:t>
      </w:r>
      <w:r w:rsidRPr="00C772A8">
        <w:rPr>
          <w:rFonts w:eastAsia="SimSun"/>
        </w:rPr>
        <w:t xml:space="preserve"> had send </w:t>
      </w:r>
      <w:r>
        <w:rPr>
          <w:rFonts w:eastAsia="SimSun"/>
        </w:rPr>
        <w:t xml:space="preserve">a LS [2] </w:t>
      </w:r>
      <w:r w:rsidR="00162E2C">
        <w:rPr>
          <w:rFonts w:eastAsia="SimSun"/>
        </w:rPr>
        <w:t xml:space="preserve">to RAN2 </w:t>
      </w:r>
      <w:r>
        <w:rPr>
          <w:rFonts w:eastAsia="SimSun"/>
        </w:rPr>
        <w:t>including the agreements for SON/MDT enhancements for NTN.</w:t>
      </w:r>
      <w:r w:rsidR="00E57E77">
        <w:rPr>
          <w:rFonts w:eastAsia="SimSun"/>
        </w:rPr>
        <w:t xml:space="preserve"> </w:t>
      </w:r>
      <w:r w:rsidR="008B6ED2">
        <w:rPr>
          <w:rFonts w:eastAsia="SimSun"/>
        </w:rPr>
        <w:t>In this contribution, w</w:t>
      </w:r>
      <w:r w:rsidR="00E57E77">
        <w:rPr>
          <w:rFonts w:eastAsia="SimSun"/>
        </w:rPr>
        <w:t xml:space="preserve">e discuss the </w:t>
      </w:r>
      <w:r w:rsidR="008B6ED2">
        <w:rPr>
          <w:rFonts w:eastAsia="SimSun"/>
        </w:rPr>
        <w:t xml:space="preserve">objective based on the LS. </w:t>
      </w:r>
    </w:p>
    <w:p w14:paraId="4C312F3D" w14:textId="510491FF" w:rsidR="007E0CC9" w:rsidRDefault="00DC6A61" w:rsidP="00DD212B">
      <w:pPr>
        <w:pStyle w:val="Heading1"/>
      </w:pPr>
      <w:r>
        <w:t>Discussion</w:t>
      </w:r>
      <w:bookmarkEnd w:id="0"/>
    </w:p>
    <w:p w14:paraId="3A16955B" w14:textId="77777777" w:rsidR="00332223" w:rsidRDefault="00332223" w:rsidP="00332223">
      <w:pPr>
        <w:pStyle w:val="Heading2"/>
      </w:pPr>
      <w:r>
        <w:t>MDT for NTN</w:t>
      </w:r>
    </w:p>
    <w:p w14:paraId="0F6CA731" w14:textId="722C621C" w:rsidR="00332223" w:rsidRPr="00092255" w:rsidRDefault="00332223" w:rsidP="00332223">
      <w:pPr>
        <w:rPr>
          <w:lang w:val="en-GB" w:eastAsia="en-US"/>
        </w:rPr>
      </w:pPr>
      <w:r>
        <w:rPr>
          <w:lang w:val="en-GB" w:eastAsia="en-US"/>
        </w:rPr>
        <w:t>RAN3 LS considers MDT enhancements</w:t>
      </w:r>
      <w:r w:rsidR="004B4C62">
        <w:rPr>
          <w:lang w:val="en-GB" w:eastAsia="en-US"/>
        </w:rPr>
        <w:t xml:space="preserve"> for NTN</w:t>
      </w:r>
      <w:r w:rsidR="00FF21F5">
        <w:rPr>
          <w:lang w:val="en-GB" w:eastAsia="en-US"/>
        </w:rPr>
        <w:t xml:space="preserve"> and the details are as given below.</w:t>
      </w:r>
    </w:p>
    <w:p w14:paraId="5656C230" w14:textId="5730213F" w:rsidR="00332223" w:rsidRDefault="00332223" w:rsidP="00332223">
      <w:pPr>
        <w:rPr>
          <w:rFonts w:eastAsia="SimSun"/>
          <w:color w:val="0070C0"/>
          <w:lang w:eastAsia="zh-CN"/>
        </w:rPr>
      </w:pPr>
      <w:r w:rsidRPr="00312375">
        <w:rPr>
          <w:rFonts w:eastAsia="SimSun"/>
          <w:color w:val="0070C0"/>
          <w:lang w:eastAsia="zh-CN"/>
        </w:rPr>
        <w:t>O</w:t>
      </w:r>
      <w:r w:rsidRPr="00312375">
        <w:rPr>
          <w:rFonts w:eastAsia="SimSun" w:hint="eastAsia"/>
          <w:color w:val="0070C0"/>
          <w:lang w:eastAsia="zh-CN"/>
        </w:rPr>
        <w:t xml:space="preserve">n </w:t>
      </w:r>
      <w:r w:rsidRPr="00312375">
        <w:rPr>
          <w:rFonts w:eastAsia="SimSun"/>
          <w:b/>
          <w:bCs/>
          <w:color w:val="0070C0"/>
          <w:lang w:eastAsia="zh-CN"/>
        </w:rPr>
        <w:t>MDT for NTN</w:t>
      </w:r>
      <w:r w:rsidRPr="00312375">
        <w:rPr>
          <w:rFonts w:eastAsia="SimSun"/>
          <w:color w:val="0070C0"/>
          <w:lang w:eastAsia="zh-CN"/>
        </w:rPr>
        <w:t>, RAN3 assumes that the geographical area and/or the mapped cell ID can be used as the Area Scope for the logged MDT for NTN over NGAP. Further, RAN3 would like to confirm with RAN2 whether the geographical area defined for MBS NTN can be reused for Area Scope of logged MDT over Uu for NTN, to help RAN3 decide whether to specify geographical area and/or mapped cell ID over NGAP.</w:t>
      </w:r>
    </w:p>
    <w:p w14:paraId="6C785E6D" w14:textId="2BBCCCD3" w:rsidR="001A5961" w:rsidRDefault="001A5961" w:rsidP="00332223">
      <w:pPr>
        <w:rPr>
          <w:lang w:val="en-GB" w:eastAsia="en-US"/>
        </w:rPr>
      </w:pPr>
      <w:r>
        <w:rPr>
          <w:lang w:val="en-GB" w:eastAsia="en-US"/>
        </w:rPr>
        <w:t>For logged MDT, the basic principle is that UE is not required to perform any new measurements</w:t>
      </w:r>
      <w:r w:rsidR="00FF21F5">
        <w:rPr>
          <w:lang w:val="en-GB" w:eastAsia="en-US"/>
        </w:rPr>
        <w:t>,</w:t>
      </w:r>
      <w:r>
        <w:rPr>
          <w:lang w:val="en-GB" w:eastAsia="en-US"/>
        </w:rPr>
        <w:t xml:space="preserve"> but logs the measurements performed for cell reselection etc.</w:t>
      </w:r>
    </w:p>
    <w:p w14:paraId="1B20A246" w14:textId="13A776C9" w:rsidR="00BB4F90" w:rsidRPr="00312375" w:rsidRDefault="00BB4F90" w:rsidP="00332223">
      <w:pPr>
        <w:rPr>
          <w:rFonts w:eastAsia="SimSun"/>
          <w:color w:val="0070C0"/>
          <w:lang w:eastAsia="zh-CN"/>
        </w:rPr>
      </w:pPr>
      <w:r>
        <w:rPr>
          <w:b/>
          <w:bCs/>
          <w:szCs w:val="20"/>
          <w:lang w:val="en-GB"/>
        </w:rPr>
        <w:t>Observation</w:t>
      </w:r>
      <w:r w:rsidRPr="00192CC5">
        <w:rPr>
          <w:b/>
          <w:bCs/>
          <w:szCs w:val="20"/>
          <w:lang w:val="en-GB"/>
        </w:rPr>
        <w:t xml:space="preserve"> </w:t>
      </w:r>
      <w:r>
        <w:rPr>
          <w:b/>
          <w:bCs/>
          <w:szCs w:val="20"/>
          <w:lang w:val="en-GB"/>
        </w:rPr>
        <w:t>1</w:t>
      </w:r>
      <w:r w:rsidRPr="00192CC5">
        <w:rPr>
          <w:b/>
          <w:bCs/>
          <w:szCs w:val="20"/>
          <w:lang w:val="en-GB"/>
        </w:rPr>
        <w:t xml:space="preserve">: </w:t>
      </w:r>
      <w:r>
        <w:rPr>
          <w:b/>
          <w:bCs/>
          <w:szCs w:val="20"/>
          <w:lang w:val="en-GB"/>
        </w:rPr>
        <w:t xml:space="preserve">The basic principle of Logged MDT is that UE just logs the measurements it has and is not required to perform any new measurements. </w:t>
      </w:r>
    </w:p>
    <w:p w14:paraId="59649EE7" w14:textId="019DB449" w:rsidR="00332223" w:rsidRDefault="005D2DDA" w:rsidP="00332223">
      <w:pPr>
        <w:rPr>
          <w:lang w:val="en-GB" w:eastAsia="en-US"/>
        </w:rPr>
      </w:pPr>
      <w:r>
        <w:rPr>
          <w:lang w:val="en-GB" w:eastAsia="en-US"/>
        </w:rPr>
        <w:t>RAN3 has asked RAN2 if geographical area can be used for Area Scope of logged MDT over Uu. We understand that the m</w:t>
      </w:r>
      <w:r w:rsidR="00332223">
        <w:rPr>
          <w:lang w:val="en-GB" w:eastAsia="en-US"/>
        </w:rPr>
        <w:t>ost important issue with the geographical area based Area Scope</w:t>
      </w:r>
      <w:r>
        <w:rPr>
          <w:lang w:val="en-GB" w:eastAsia="en-US"/>
        </w:rPr>
        <w:t xml:space="preserve"> over Uu</w:t>
      </w:r>
      <w:r w:rsidR="00332223">
        <w:rPr>
          <w:lang w:val="en-GB" w:eastAsia="en-US"/>
        </w:rPr>
        <w:t xml:space="preserve"> is the impact on the UE performance, especially UE’s battery performance. A UE is not required to have updated location in the RRC_IDLE and RRC_INACTIVE states. Any new requirement contrary to this will have serious implications on the UE battery performance. It will also affect the computational load of the UEs.</w:t>
      </w:r>
    </w:p>
    <w:p w14:paraId="6F58E285" w14:textId="77777777" w:rsidR="00E9753F" w:rsidRDefault="00D95F80" w:rsidP="00E9753F">
      <w:pPr>
        <w:rPr>
          <w:lang w:val="en-GB" w:eastAsia="en-US"/>
        </w:rPr>
      </w:pPr>
      <w:r>
        <w:rPr>
          <w:lang w:val="en-GB" w:eastAsia="en-US"/>
        </w:rPr>
        <w:t xml:space="preserve">From TS 38.300, we can see that the </w:t>
      </w:r>
      <w:r w:rsidRPr="00D95F80">
        <w:rPr>
          <w:lang w:val="en-GB" w:eastAsia="en-US"/>
        </w:rPr>
        <w:t xml:space="preserve">GNSS is required to have been performed before entering connected mode, and the GNSS location needs to </w:t>
      </w:r>
      <w:r>
        <w:rPr>
          <w:lang w:val="en-GB" w:eastAsia="en-US"/>
        </w:rPr>
        <w:t>be maintained in connected mode. This means that there is no requirement for the UE to acquire GNSS location in RRC_IDLE/RRC_INACTIVE.</w:t>
      </w:r>
      <w:bookmarkStart w:id="1" w:name="_Toc185530696"/>
    </w:p>
    <w:p w14:paraId="16938B03" w14:textId="2EFB076E" w:rsidR="00D95F80" w:rsidRPr="00E9753F" w:rsidRDefault="00D95F80" w:rsidP="00E9753F">
      <w:pPr>
        <w:rPr>
          <w:lang w:val="en-GB" w:eastAsia="en-US"/>
        </w:rPr>
      </w:pPr>
      <w:r w:rsidRPr="00D95F80">
        <w:rPr>
          <w:i/>
          <w:color w:val="C00000"/>
        </w:rPr>
        <w:t>16.14.2.2       Timing Advance and Frequency Pre-compensation</w:t>
      </w:r>
      <w:bookmarkEnd w:id="1"/>
    </w:p>
    <w:p w14:paraId="3548B0E1" w14:textId="1A19F8F0" w:rsidR="00D95F80" w:rsidRDefault="00D95F80" w:rsidP="00D95F80">
      <w:pPr>
        <w:rPr>
          <w:i/>
          <w:color w:val="C00000"/>
          <w:lang w:val="en-GB"/>
        </w:rPr>
      </w:pPr>
      <w:r w:rsidRPr="00D95F80">
        <w:rPr>
          <w:i/>
          <w:color w:val="C00000"/>
          <w:lang w:val="en-GB"/>
        </w:rPr>
        <w:t xml:space="preserve">For the serving cell, the network broadcast valid ephemeris information and Common TA parameters. </w:t>
      </w:r>
      <w:r w:rsidRPr="00D95F80">
        <w:rPr>
          <w:i/>
          <w:color w:val="C00000"/>
          <w:highlight w:val="yellow"/>
          <w:lang w:val="en-GB"/>
        </w:rPr>
        <w:t>The UE shall have valid GNSS position as well as ephemeris and Common TA before connecting to an NTN cell.</w:t>
      </w:r>
      <w:r w:rsidRPr="00D95F80">
        <w:rPr>
          <w:i/>
          <w:color w:val="C00000"/>
          <w:lang w:val="en-GB"/>
        </w:rPr>
        <w:t xml:space="preserve"> To achieve synchronisation, before and during connection to an NTN cell, the UE shall compute the RTT between UE and the RP based on the GNSS position, the ephemeris, and the Common TA parameters (see clause 4.2 in TS 38.213 [38]), and autonomously pre-compensate the T</w:t>
      </w:r>
      <w:r w:rsidRPr="00D95F80">
        <w:rPr>
          <w:i/>
          <w:color w:val="C00000"/>
          <w:vertAlign w:val="subscript"/>
          <w:lang w:val="en-GB"/>
        </w:rPr>
        <w:t>TA</w:t>
      </w:r>
      <w:r w:rsidRPr="00D95F80">
        <w:rPr>
          <w:i/>
          <w:color w:val="C00000"/>
          <w:lang w:val="en-GB"/>
        </w:rPr>
        <w:t xml:space="preserve"> for the RTT between the UE and the RP as illustrated in Figure 16.14.2.1-1 (see clause 4.3 of TS 38.211 [52]).</w:t>
      </w:r>
    </w:p>
    <w:p w14:paraId="716FCD4D" w14:textId="2DE9323E" w:rsidR="005D2DDA" w:rsidRPr="005D2DDA" w:rsidRDefault="0016592F" w:rsidP="00D95F80">
      <w:pPr>
        <w:rPr>
          <w:lang w:val="en-GB" w:eastAsia="en-US"/>
        </w:rPr>
      </w:pPr>
      <w:r w:rsidRPr="005D2DDA">
        <w:rPr>
          <w:lang w:val="en-GB" w:eastAsia="en-US"/>
        </w:rPr>
        <w:t>Thus,</w:t>
      </w:r>
      <w:r w:rsidR="005D2DDA" w:rsidRPr="005D2DDA">
        <w:rPr>
          <w:lang w:val="en-GB" w:eastAsia="en-US"/>
        </w:rPr>
        <w:t xml:space="preserve"> we can </w:t>
      </w:r>
      <w:r w:rsidR="005D2DDA">
        <w:rPr>
          <w:lang w:val="en-GB" w:eastAsia="en-US"/>
        </w:rPr>
        <w:t>observe</w:t>
      </w:r>
      <w:r w:rsidR="005D2DDA" w:rsidRPr="005D2DDA">
        <w:rPr>
          <w:lang w:val="en-GB" w:eastAsia="en-US"/>
        </w:rPr>
        <w:t xml:space="preserve"> that geographical area based Area scope over Uu</w:t>
      </w:r>
      <w:r w:rsidR="005D2DDA">
        <w:rPr>
          <w:lang w:val="en-GB" w:eastAsia="en-US"/>
        </w:rPr>
        <w:t xml:space="preserve"> brings in the requirements for new measurements </w:t>
      </w:r>
      <w:r w:rsidR="00EE4BBF">
        <w:rPr>
          <w:lang w:val="en-GB" w:eastAsia="en-US"/>
        </w:rPr>
        <w:t xml:space="preserve">seriously </w:t>
      </w:r>
      <w:r w:rsidR="00C42C66">
        <w:rPr>
          <w:lang w:val="en-GB" w:eastAsia="en-US"/>
        </w:rPr>
        <w:t>affecting</w:t>
      </w:r>
      <w:r w:rsidR="005D2DDA">
        <w:rPr>
          <w:lang w:val="en-GB" w:eastAsia="en-US"/>
        </w:rPr>
        <w:t xml:space="preserve"> UE battery performance.</w:t>
      </w:r>
    </w:p>
    <w:p w14:paraId="130EA41F" w14:textId="57ADE8F4" w:rsidR="00D24FD5" w:rsidRDefault="00D24FD5" w:rsidP="00D24FD5">
      <w:pPr>
        <w:jc w:val="both"/>
        <w:rPr>
          <w:b/>
          <w:bCs/>
          <w:szCs w:val="20"/>
          <w:lang w:val="en-GB"/>
        </w:rPr>
      </w:pPr>
      <w:r>
        <w:rPr>
          <w:b/>
          <w:bCs/>
          <w:szCs w:val="20"/>
          <w:lang w:val="en-GB"/>
        </w:rPr>
        <w:t>Observation</w:t>
      </w:r>
      <w:r w:rsidRPr="00192CC5">
        <w:rPr>
          <w:b/>
          <w:bCs/>
          <w:szCs w:val="20"/>
          <w:lang w:val="en-GB"/>
        </w:rPr>
        <w:t xml:space="preserve"> </w:t>
      </w:r>
      <w:r w:rsidR="00BB4F90">
        <w:rPr>
          <w:b/>
          <w:bCs/>
          <w:szCs w:val="20"/>
          <w:lang w:val="en-GB"/>
        </w:rPr>
        <w:t>2</w:t>
      </w:r>
      <w:r w:rsidRPr="00192CC5">
        <w:rPr>
          <w:b/>
          <w:bCs/>
          <w:szCs w:val="20"/>
          <w:lang w:val="en-GB"/>
        </w:rPr>
        <w:t xml:space="preserve">: </w:t>
      </w:r>
      <w:r>
        <w:rPr>
          <w:b/>
          <w:bCs/>
          <w:szCs w:val="20"/>
          <w:lang w:val="en-GB"/>
        </w:rPr>
        <w:t xml:space="preserve">Geographical area based </w:t>
      </w:r>
      <w:r w:rsidRPr="00192CC5">
        <w:rPr>
          <w:b/>
          <w:bCs/>
          <w:szCs w:val="20"/>
          <w:lang w:val="en-GB"/>
        </w:rPr>
        <w:t>Area Scope</w:t>
      </w:r>
      <w:r w:rsidR="005D2DDA">
        <w:rPr>
          <w:b/>
          <w:bCs/>
          <w:szCs w:val="20"/>
          <w:lang w:val="en-GB"/>
        </w:rPr>
        <w:t xml:space="preserve"> over Uu</w:t>
      </w:r>
      <w:r w:rsidRPr="00192CC5">
        <w:rPr>
          <w:b/>
          <w:bCs/>
          <w:szCs w:val="20"/>
          <w:lang w:val="en-GB"/>
        </w:rPr>
        <w:t xml:space="preserve"> </w:t>
      </w:r>
      <w:r w:rsidR="00DF46E9">
        <w:rPr>
          <w:b/>
          <w:bCs/>
          <w:szCs w:val="20"/>
          <w:lang w:val="en-GB"/>
        </w:rPr>
        <w:t xml:space="preserve">requires UE to perform additional measurements and </w:t>
      </w:r>
      <w:r>
        <w:rPr>
          <w:b/>
          <w:bCs/>
          <w:szCs w:val="20"/>
          <w:lang w:val="en-GB"/>
        </w:rPr>
        <w:t>has a huge impact on UE battery performance.</w:t>
      </w:r>
    </w:p>
    <w:p w14:paraId="2BB9C7CD" w14:textId="4D000469" w:rsidR="00DF46E9" w:rsidRPr="00DF46E9" w:rsidRDefault="00DF46E9" w:rsidP="00D24FD5">
      <w:pPr>
        <w:jc w:val="both"/>
        <w:rPr>
          <w:bCs/>
          <w:szCs w:val="20"/>
          <w:lang w:val="en-GB"/>
        </w:rPr>
      </w:pPr>
    </w:p>
    <w:p w14:paraId="1D549413" w14:textId="45CEC2BD" w:rsidR="00941A5E" w:rsidRPr="00C23602" w:rsidRDefault="00887329" w:rsidP="00941A5E">
      <w:pPr>
        <w:rPr>
          <w:iCs/>
          <w:color w:val="000000"/>
          <w:sz w:val="22"/>
        </w:rPr>
      </w:pPr>
      <w:r>
        <w:rPr>
          <w:iCs/>
          <w:color w:val="000000"/>
          <w:sz w:val="22"/>
        </w:rPr>
        <w:lastRenderedPageBreak/>
        <w:t xml:space="preserve">For cell reselection measurements, it is possible to configure </w:t>
      </w:r>
      <w:r w:rsidR="00941A5E">
        <w:rPr>
          <w:iCs/>
          <w:color w:val="000000"/>
          <w:sz w:val="22"/>
        </w:rPr>
        <w:t xml:space="preserve">a </w:t>
      </w:r>
      <w:r w:rsidR="00941A5E" w:rsidRPr="00941A5E">
        <w:rPr>
          <w:i/>
          <w:iCs/>
          <w:color w:val="000000"/>
          <w:sz w:val="22"/>
        </w:rPr>
        <w:t>distanceThresh</w:t>
      </w:r>
      <w:r w:rsidR="00941A5E">
        <w:rPr>
          <w:iCs/>
          <w:color w:val="000000"/>
          <w:sz w:val="22"/>
        </w:rPr>
        <w:t xml:space="preserve"> and </w:t>
      </w:r>
      <w:r w:rsidR="00941A5E" w:rsidRPr="00C23602">
        <w:rPr>
          <w:iCs/>
          <w:color w:val="000000"/>
          <w:sz w:val="22"/>
        </w:rPr>
        <w:t>referenceLocation</w:t>
      </w:r>
      <w:bookmarkStart w:id="2" w:name="_Toc185530981"/>
      <w:bookmarkStart w:id="3" w:name="_Toc52749291"/>
      <w:bookmarkStart w:id="4" w:name="_Toc46502314"/>
      <w:bookmarkStart w:id="5" w:name="_Toc37298552"/>
      <w:bookmarkStart w:id="6" w:name="_Toc29245206"/>
      <w:r w:rsidR="00C23602" w:rsidRPr="00C23602">
        <w:rPr>
          <w:iCs/>
          <w:color w:val="000000"/>
          <w:sz w:val="22"/>
        </w:rPr>
        <w:t xml:space="preserve"> to restrict the measurements, but even here</w:t>
      </w:r>
      <w:r w:rsidR="005D2DDA">
        <w:rPr>
          <w:iCs/>
          <w:color w:val="000000"/>
          <w:sz w:val="22"/>
        </w:rPr>
        <w:t>,</w:t>
      </w:r>
      <w:r w:rsidR="00C23602" w:rsidRPr="00C23602">
        <w:rPr>
          <w:iCs/>
          <w:color w:val="000000"/>
          <w:sz w:val="22"/>
        </w:rPr>
        <w:t xml:space="preserve"> there is no requirement for UE to perform location measurements. The measurement restrictions is applicable only when the UE has obtained its location information, and it is up to UE’s instantaneous decision to obtain location information or not.</w:t>
      </w:r>
    </w:p>
    <w:p w14:paraId="75306C99" w14:textId="50C16BF3" w:rsidR="00941A5E" w:rsidRDefault="00941A5E" w:rsidP="00941A5E">
      <w:pPr>
        <w:rPr>
          <w:lang w:val="en-GB" w:eastAsia="ja-JP"/>
        </w:rPr>
      </w:pPr>
      <w:r>
        <w:rPr>
          <w:lang w:val="en-GB"/>
        </w:rPr>
        <w:t>5.2.4.2            Measurement rules for cell re-selection</w:t>
      </w:r>
      <w:bookmarkEnd w:id="2"/>
      <w:bookmarkEnd w:id="3"/>
      <w:bookmarkEnd w:id="4"/>
      <w:bookmarkEnd w:id="5"/>
      <w:bookmarkEnd w:id="6"/>
    </w:p>
    <w:p w14:paraId="5DC30F12" w14:textId="77777777" w:rsidR="00941A5E" w:rsidRDefault="00941A5E" w:rsidP="00941A5E">
      <w:pPr>
        <w:rPr>
          <w:lang w:val="en-GB" w:eastAsia="en-US"/>
        </w:rPr>
      </w:pPr>
      <w:r>
        <w:rPr>
          <w:lang w:val="en-GB"/>
        </w:rPr>
        <w:t>Following rules are used by the UE to limit needed measurements:</w:t>
      </w:r>
    </w:p>
    <w:p w14:paraId="1F2613E9" w14:textId="77777777" w:rsidR="00941A5E" w:rsidRPr="00C23602" w:rsidRDefault="00941A5E" w:rsidP="00941A5E">
      <w:pPr>
        <w:pStyle w:val="B1"/>
        <w:rPr>
          <w:lang w:val="en-GB"/>
        </w:rPr>
      </w:pPr>
      <w:r w:rsidRPr="00C23602">
        <w:rPr>
          <w:lang w:val="en-GB"/>
        </w:rPr>
        <w:t>-     If the serving cell fulfils Srxlev</w:t>
      </w:r>
      <w:r w:rsidRPr="00C23602">
        <w:rPr>
          <w:vertAlign w:val="subscript"/>
          <w:lang w:val="en-GB"/>
        </w:rPr>
        <w:t xml:space="preserve"> </w:t>
      </w:r>
      <w:r w:rsidRPr="00C23602">
        <w:rPr>
          <w:lang w:val="en-GB"/>
        </w:rPr>
        <w:t>&gt; S</w:t>
      </w:r>
      <w:r w:rsidRPr="00C23602">
        <w:rPr>
          <w:vertAlign w:val="subscript"/>
          <w:lang w:val="en-GB"/>
        </w:rPr>
        <w:t>IntraSearchP</w:t>
      </w:r>
      <w:r w:rsidRPr="00C23602">
        <w:rPr>
          <w:lang w:val="en-GB"/>
        </w:rPr>
        <w:t xml:space="preserve"> and Squal &gt; S</w:t>
      </w:r>
      <w:r w:rsidRPr="00C23602">
        <w:rPr>
          <w:vertAlign w:val="subscript"/>
          <w:lang w:val="en-GB"/>
        </w:rPr>
        <w:t>IntraSearchQ</w:t>
      </w:r>
      <w:r w:rsidRPr="00C23602">
        <w:rPr>
          <w:lang w:val="en-GB"/>
        </w:rPr>
        <w:t>:</w:t>
      </w:r>
    </w:p>
    <w:p w14:paraId="12D69A7A" w14:textId="77777777" w:rsidR="00941A5E" w:rsidRPr="00C23602" w:rsidRDefault="00941A5E" w:rsidP="00941A5E">
      <w:pPr>
        <w:pStyle w:val="B2"/>
        <w:rPr>
          <w:lang w:val="en-GB"/>
        </w:rPr>
      </w:pPr>
      <w:r w:rsidRPr="00C23602">
        <w:rPr>
          <w:lang w:val="en-GB"/>
        </w:rPr>
        <w:t xml:space="preserve">-     If </w:t>
      </w:r>
      <w:r w:rsidRPr="00C23602">
        <w:rPr>
          <w:i/>
          <w:iCs/>
          <w:lang w:val="en-GB"/>
        </w:rPr>
        <w:t>distanceThresh</w:t>
      </w:r>
      <w:r w:rsidRPr="00C23602">
        <w:rPr>
          <w:lang w:val="en-GB"/>
        </w:rPr>
        <w:t xml:space="preserve"> and </w:t>
      </w:r>
      <w:r w:rsidRPr="00C23602">
        <w:rPr>
          <w:i/>
          <w:iCs/>
          <w:lang w:val="en-GB"/>
        </w:rPr>
        <w:t>referenceLocation</w:t>
      </w:r>
      <w:r w:rsidRPr="00C23602">
        <w:rPr>
          <w:lang w:val="en-GB"/>
        </w:rPr>
        <w:t xml:space="preserve"> are broadcasted in </w:t>
      </w:r>
      <w:r w:rsidRPr="00C23602">
        <w:rPr>
          <w:i/>
          <w:iCs/>
          <w:lang w:val="en-GB"/>
        </w:rPr>
        <w:t>SIB19</w:t>
      </w:r>
      <w:r w:rsidRPr="00C23602">
        <w:rPr>
          <w:lang w:val="en-GB"/>
        </w:rPr>
        <w:t xml:space="preserve">, and if UE supports location-based measurement initiation for NTN (quasi-)Earth-fixed cell </w:t>
      </w:r>
      <w:r w:rsidRPr="00C23602">
        <w:rPr>
          <w:highlight w:val="yellow"/>
          <w:lang w:val="en-GB"/>
        </w:rPr>
        <w:t>and has obtained its location information:</w:t>
      </w:r>
    </w:p>
    <w:p w14:paraId="4DF10313" w14:textId="77777777" w:rsidR="00941A5E" w:rsidRPr="00C23602" w:rsidRDefault="00941A5E" w:rsidP="00941A5E">
      <w:pPr>
        <w:pStyle w:val="B3"/>
        <w:rPr>
          <w:lang w:val="en-GB"/>
        </w:rPr>
      </w:pPr>
      <w:bookmarkStart w:id="7" w:name="_Hlk96333131"/>
      <w:r w:rsidRPr="00C23602">
        <w:rPr>
          <w:lang w:val="en-GB"/>
        </w:rPr>
        <w:t xml:space="preserve">-     If the distance between UE and the serving cell reference location </w:t>
      </w:r>
      <w:r w:rsidRPr="00C23602">
        <w:rPr>
          <w:i/>
          <w:iCs/>
          <w:lang w:val="en-GB"/>
        </w:rPr>
        <w:t>referenceLocation</w:t>
      </w:r>
      <w:r w:rsidRPr="00C23602">
        <w:rPr>
          <w:lang w:val="en-GB"/>
        </w:rPr>
        <w:t xml:space="preserve"> is shorter than </w:t>
      </w:r>
      <w:r w:rsidRPr="00C23602">
        <w:rPr>
          <w:i/>
          <w:iCs/>
          <w:lang w:val="en-GB"/>
        </w:rPr>
        <w:t>distanceThresh</w:t>
      </w:r>
      <w:r w:rsidRPr="00C23602">
        <w:rPr>
          <w:lang w:val="en-GB"/>
        </w:rPr>
        <w:t>, the UE may not perform intra-frequency measurements;</w:t>
      </w:r>
    </w:p>
    <w:p w14:paraId="320FD80E" w14:textId="77777777" w:rsidR="00941A5E" w:rsidRDefault="00941A5E" w:rsidP="00941A5E">
      <w:pPr>
        <w:pStyle w:val="B3"/>
        <w:rPr>
          <w:lang w:val="en-GB"/>
        </w:rPr>
      </w:pPr>
      <w:r w:rsidRPr="00C23602">
        <w:rPr>
          <w:lang w:val="en-GB"/>
        </w:rPr>
        <w:t>-     Else, the UE shall perform intra-frequency measurements;</w:t>
      </w:r>
    </w:p>
    <w:bookmarkEnd w:id="7"/>
    <w:p w14:paraId="24E056FF" w14:textId="77777777" w:rsidR="00941A5E" w:rsidRDefault="00941A5E" w:rsidP="00941A5E">
      <w:pPr>
        <w:pStyle w:val="B2"/>
        <w:rPr>
          <w:lang w:val="en-GB"/>
        </w:rPr>
      </w:pPr>
      <w:r>
        <w:rPr>
          <w:lang w:val="en-GB"/>
        </w:rPr>
        <w:t xml:space="preserve">-     else if </w:t>
      </w:r>
      <w:r>
        <w:rPr>
          <w:i/>
          <w:iCs/>
          <w:lang w:val="en-GB"/>
        </w:rPr>
        <w:t>distanceThresh</w:t>
      </w:r>
      <w:r>
        <w:rPr>
          <w:lang w:val="en-GB"/>
        </w:rPr>
        <w:t xml:space="preserve"> and </w:t>
      </w:r>
      <w:r>
        <w:rPr>
          <w:i/>
          <w:iCs/>
          <w:lang w:val="en-GB"/>
        </w:rPr>
        <w:t>movingReferenceLocation</w:t>
      </w:r>
      <w:r>
        <w:rPr>
          <w:lang w:val="en-GB"/>
        </w:rPr>
        <w:t xml:space="preserve"> are broadcasted in </w:t>
      </w:r>
      <w:r>
        <w:rPr>
          <w:i/>
          <w:iCs/>
          <w:lang w:val="en-GB"/>
        </w:rPr>
        <w:t>SIB19</w:t>
      </w:r>
      <w:r>
        <w:rPr>
          <w:lang w:val="en-GB"/>
        </w:rPr>
        <w:t xml:space="preserve">, and if UE supports location-based measurement initiation for NTN Earth-moving cell </w:t>
      </w:r>
      <w:r w:rsidRPr="00C23602">
        <w:rPr>
          <w:highlight w:val="yellow"/>
          <w:lang w:val="en-GB"/>
        </w:rPr>
        <w:t>and has obtained its location information:</w:t>
      </w:r>
    </w:p>
    <w:p w14:paraId="4D763A2B" w14:textId="77777777" w:rsidR="00941A5E" w:rsidRDefault="00941A5E" w:rsidP="00941A5E">
      <w:pPr>
        <w:pStyle w:val="B3"/>
        <w:rPr>
          <w:lang w:val="en-GB"/>
        </w:rPr>
      </w:pPr>
      <w:r>
        <w:rPr>
          <w:lang w:val="en-GB"/>
        </w:rPr>
        <w:t xml:space="preserve">-     if the distance between UE's location and the serving cell reference location determined based on </w:t>
      </w:r>
      <w:r>
        <w:rPr>
          <w:i/>
          <w:iCs/>
          <w:lang w:val="en-GB"/>
        </w:rPr>
        <w:t>movingReferenceLocation</w:t>
      </w:r>
      <w:r>
        <w:rPr>
          <w:lang w:val="en-GB"/>
        </w:rPr>
        <w:t xml:space="preserve"> is shorter than </w:t>
      </w:r>
      <w:r>
        <w:rPr>
          <w:i/>
          <w:iCs/>
          <w:lang w:val="en-GB"/>
        </w:rPr>
        <w:t>distanceThresh</w:t>
      </w:r>
      <w:r>
        <w:rPr>
          <w:lang w:val="en-GB"/>
        </w:rPr>
        <w:t>, the UE may not perform intra-frequency measurements;</w:t>
      </w:r>
    </w:p>
    <w:p w14:paraId="4BA2730A" w14:textId="77777777" w:rsidR="00941A5E" w:rsidRDefault="00941A5E" w:rsidP="00941A5E">
      <w:pPr>
        <w:pStyle w:val="B3"/>
        <w:rPr>
          <w:lang w:val="en-GB"/>
        </w:rPr>
      </w:pPr>
      <w:r>
        <w:rPr>
          <w:lang w:val="en-GB"/>
        </w:rPr>
        <w:t>-     else, the UE shall perform intra-frequency measurements;</w:t>
      </w:r>
    </w:p>
    <w:p w14:paraId="787C05FF" w14:textId="19448CE9" w:rsidR="00C23602" w:rsidRPr="00C23602" w:rsidRDefault="00C23602" w:rsidP="00332223">
      <w:pPr>
        <w:jc w:val="both"/>
        <w:rPr>
          <w:bCs/>
          <w:szCs w:val="20"/>
          <w:lang w:val="en-GB"/>
        </w:rPr>
      </w:pPr>
      <w:r w:rsidRPr="00C23602">
        <w:rPr>
          <w:bCs/>
          <w:szCs w:val="20"/>
          <w:lang w:val="en-GB"/>
        </w:rPr>
        <w:t>For logged MDT, such a dynamic behaviour may not be suitable and the network may need a more deterministic behaviour. For e.g. if geographic area is configured for fifty UEs and all those UEs</w:t>
      </w:r>
      <w:r>
        <w:rPr>
          <w:bCs/>
          <w:szCs w:val="20"/>
          <w:lang w:val="en-GB"/>
        </w:rPr>
        <w:t xml:space="preserve"> do not perform measurement logging because the location measurements is not performed solely based on UE decision, the purpose will not be served. </w:t>
      </w:r>
      <w:bookmarkStart w:id="8" w:name="_GoBack"/>
      <w:bookmarkEnd w:id="8"/>
      <w:r w:rsidR="00823C18">
        <w:rPr>
          <w:bCs/>
          <w:szCs w:val="20"/>
          <w:lang w:val="en-GB"/>
        </w:rPr>
        <w:t>So using geographical area based Area scope over Uu is not a feasible option.</w:t>
      </w:r>
    </w:p>
    <w:p w14:paraId="6131133A" w14:textId="28B5C8A4" w:rsidR="00332223" w:rsidRDefault="00332223" w:rsidP="00332223">
      <w:pPr>
        <w:jc w:val="both"/>
        <w:rPr>
          <w:b/>
          <w:bCs/>
          <w:szCs w:val="20"/>
          <w:lang w:val="en-GB"/>
        </w:rPr>
      </w:pPr>
      <w:r w:rsidRPr="00192CC5">
        <w:rPr>
          <w:b/>
          <w:bCs/>
          <w:szCs w:val="20"/>
          <w:lang w:val="en-GB"/>
        </w:rPr>
        <w:t xml:space="preserve">Proposal </w:t>
      </w:r>
      <w:r>
        <w:rPr>
          <w:b/>
          <w:bCs/>
          <w:szCs w:val="20"/>
          <w:lang w:val="en-GB"/>
        </w:rPr>
        <w:t>1</w:t>
      </w:r>
      <w:r w:rsidRPr="00192CC5">
        <w:rPr>
          <w:b/>
          <w:bCs/>
          <w:szCs w:val="20"/>
          <w:lang w:val="en-GB"/>
        </w:rPr>
        <w:t xml:space="preserve">: </w:t>
      </w:r>
      <w:r w:rsidR="00887329">
        <w:rPr>
          <w:b/>
          <w:bCs/>
          <w:szCs w:val="20"/>
          <w:lang w:val="en-GB"/>
        </w:rPr>
        <w:t>RAN2 to send LS to RAN3 informing that g</w:t>
      </w:r>
      <w:r>
        <w:rPr>
          <w:b/>
          <w:bCs/>
          <w:szCs w:val="20"/>
          <w:lang w:val="en-GB"/>
        </w:rPr>
        <w:t xml:space="preserve">eographical area based </w:t>
      </w:r>
      <w:r w:rsidRPr="00192CC5">
        <w:rPr>
          <w:b/>
          <w:bCs/>
          <w:szCs w:val="20"/>
          <w:lang w:val="en-GB"/>
        </w:rPr>
        <w:t>Area Scope</w:t>
      </w:r>
      <w:r w:rsidR="00823C18">
        <w:rPr>
          <w:b/>
          <w:bCs/>
          <w:szCs w:val="20"/>
          <w:lang w:val="en-GB"/>
        </w:rPr>
        <w:t xml:space="preserve"> over Uu</w:t>
      </w:r>
      <w:r w:rsidRPr="00192CC5">
        <w:rPr>
          <w:b/>
          <w:bCs/>
          <w:szCs w:val="20"/>
          <w:lang w:val="en-GB"/>
        </w:rPr>
        <w:t xml:space="preserve"> is not </w:t>
      </w:r>
      <w:r w:rsidR="00F0378D">
        <w:rPr>
          <w:b/>
          <w:bCs/>
          <w:szCs w:val="20"/>
          <w:lang w:val="en-GB"/>
        </w:rPr>
        <w:t>feasible</w:t>
      </w:r>
      <w:r w:rsidRPr="00192CC5">
        <w:rPr>
          <w:b/>
          <w:bCs/>
          <w:szCs w:val="20"/>
          <w:lang w:val="en-GB"/>
        </w:rPr>
        <w:t xml:space="preserve"> for logged MDT</w:t>
      </w:r>
      <w:r>
        <w:rPr>
          <w:b/>
          <w:bCs/>
          <w:szCs w:val="20"/>
          <w:lang w:val="en-GB"/>
        </w:rPr>
        <w:t>.</w:t>
      </w:r>
    </w:p>
    <w:p w14:paraId="342723C5" w14:textId="25B01271" w:rsidR="00C73F0A" w:rsidRDefault="00CE352B" w:rsidP="00C73F0A">
      <w:pPr>
        <w:pStyle w:val="Heading2"/>
      </w:pPr>
      <w:r>
        <w:t>MRO for NTN</w:t>
      </w:r>
    </w:p>
    <w:p w14:paraId="40580324" w14:textId="63D81C9C" w:rsidR="00332223" w:rsidRDefault="004C0232" w:rsidP="00092255">
      <w:pPr>
        <w:jc w:val="both"/>
        <w:rPr>
          <w:rFonts w:eastAsia="SimSun"/>
          <w:lang w:eastAsia="zh-CN"/>
        </w:rPr>
      </w:pPr>
      <w:r>
        <w:rPr>
          <w:rFonts w:eastAsia="SimSun"/>
          <w:lang w:eastAsia="zh-CN"/>
        </w:rPr>
        <w:t xml:space="preserve">There could be some issues </w:t>
      </w:r>
      <w:r w:rsidRPr="004C0232">
        <w:rPr>
          <w:rFonts w:eastAsia="SimSun"/>
          <w:lang w:eastAsia="zh-CN"/>
        </w:rPr>
        <w:t>specific</w:t>
      </w:r>
      <w:r>
        <w:rPr>
          <w:rFonts w:eastAsia="SimSun"/>
          <w:lang w:eastAsia="zh-CN"/>
        </w:rPr>
        <w:t xml:space="preserve"> to NTN which may lead to radio link failures.</w:t>
      </w:r>
      <w:r w:rsidR="00332223">
        <w:rPr>
          <w:rFonts w:eastAsia="SimSun"/>
          <w:lang w:eastAsia="zh-CN"/>
        </w:rPr>
        <w:t xml:space="preserve"> A handover failure may occur if the</w:t>
      </w:r>
      <w:r w:rsidR="00332223" w:rsidRPr="00332223">
        <w:t xml:space="preserve"> </w:t>
      </w:r>
      <w:r w:rsidR="00332223" w:rsidRPr="00332223">
        <w:rPr>
          <w:rFonts w:eastAsia="SimSun"/>
          <w:lang w:eastAsia="zh-CN"/>
        </w:rPr>
        <w:t>T</w:t>
      </w:r>
      <w:r w:rsidR="00332223">
        <w:rPr>
          <w:rFonts w:eastAsia="SimSun"/>
          <w:lang w:eastAsia="zh-CN"/>
        </w:rPr>
        <w:t xml:space="preserve">iming </w:t>
      </w:r>
      <w:r w:rsidR="00332223" w:rsidRPr="00332223">
        <w:rPr>
          <w:rFonts w:eastAsia="SimSun"/>
          <w:lang w:eastAsia="zh-CN"/>
        </w:rPr>
        <w:t>A</w:t>
      </w:r>
      <w:r w:rsidR="00332223">
        <w:rPr>
          <w:rFonts w:eastAsia="SimSun"/>
          <w:lang w:eastAsia="zh-CN"/>
        </w:rPr>
        <w:t>dvance</w:t>
      </w:r>
      <w:r w:rsidR="00332223" w:rsidRPr="00332223">
        <w:rPr>
          <w:rFonts w:eastAsia="SimSun"/>
          <w:lang w:eastAsia="zh-CN"/>
        </w:rPr>
        <w:t xml:space="preserve"> value that the UE estimated to the target cell</w:t>
      </w:r>
      <w:r w:rsidR="00332223">
        <w:rPr>
          <w:rFonts w:eastAsia="SimSun"/>
          <w:lang w:eastAsia="zh-CN"/>
        </w:rPr>
        <w:t xml:space="preserve"> is incorrect. Thus </w:t>
      </w:r>
      <w:r w:rsidR="00332223">
        <w:rPr>
          <w:lang w:val="en-GB"/>
        </w:rPr>
        <w:t>including the Timing Advance field of the Timing Advance Report MAC CE, if it was triggered during the random access procedure</w:t>
      </w:r>
      <w:r w:rsidR="00332223">
        <w:rPr>
          <w:rFonts w:eastAsia="SimSun"/>
          <w:lang w:eastAsia="zh-CN"/>
        </w:rPr>
        <w:t xml:space="preserve"> will be helpful for the networks to identify the exact cause of failu</w:t>
      </w:r>
      <w:r w:rsidR="00153CD2">
        <w:rPr>
          <w:rFonts w:eastAsia="SimSun"/>
          <w:lang w:eastAsia="zh-CN"/>
        </w:rPr>
        <w:t>re.</w:t>
      </w:r>
    </w:p>
    <w:p w14:paraId="25D4375F" w14:textId="67709B2F" w:rsidR="004C0232" w:rsidRDefault="00332223" w:rsidP="00092255">
      <w:pPr>
        <w:jc w:val="both"/>
        <w:rPr>
          <w:rFonts w:eastAsia="SimSun"/>
          <w:lang w:eastAsia="zh-CN"/>
        </w:rPr>
      </w:pPr>
      <w:r>
        <w:rPr>
          <w:rFonts w:eastAsia="SimSun"/>
          <w:lang w:eastAsia="zh-CN"/>
        </w:rPr>
        <w:t xml:space="preserve">Similarly, </w:t>
      </w:r>
      <w:r w:rsidR="004C0232" w:rsidRPr="004C0232">
        <w:rPr>
          <w:rFonts w:eastAsia="SimSun"/>
          <w:lang w:eastAsia="zh-CN"/>
        </w:rPr>
        <w:t>in order to get the</w:t>
      </w:r>
      <w:r w:rsidR="004C0232">
        <w:rPr>
          <w:rFonts w:eastAsia="SimSun"/>
          <w:lang w:eastAsia="zh-CN"/>
        </w:rPr>
        <w:t xml:space="preserve"> satellite position for the UE t</w:t>
      </w:r>
      <w:r w:rsidR="004C0232" w:rsidRPr="004C0232">
        <w:rPr>
          <w:rFonts w:eastAsia="SimSun"/>
          <w:lang w:eastAsia="zh-CN"/>
        </w:rPr>
        <w:t>o self-precompensate the TA, the network signals the satellite position in SIB19, also called the ephemeris. This ephemeris value has a validity duration, which forces the UE to re-acquire the SIB19 every now and then</w:t>
      </w:r>
      <w:r w:rsidR="004C0232">
        <w:rPr>
          <w:rFonts w:eastAsia="SimSun"/>
          <w:lang w:eastAsia="zh-CN"/>
        </w:rPr>
        <w:t xml:space="preserve">. Some of the typical cause of failures in </w:t>
      </w:r>
      <w:r w:rsidR="00771C6E">
        <w:rPr>
          <w:rFonts w:eastAsia="SimSun"/>
          <w:lang w:eastAsia="zh-CN"/>
        </w:rPr>
        <w:t xml:space="preserve">NTN are </w:t>
      </w:r>
      <w:r w:rsidR="004C0232">
        <w:rPr>
          <w:rFonts w:eastAsia="SimSun"/>
          <w:lang w:eastAsia="zh-CN"/>
        </w:rPr>
        <w:t>related to the uplink validity. It will be useful to report</w:t>
      </w:r>
      <w:r>
        <w:rPr>
          <w:rFonts w:eastAsia="SimSun"/>
          <w:lang w:eastAsia="zh-CN"/>
        </w:rPr>
        <w:t xml:space="preserve"> information related to the uplink validity and </w:t>
      </w:r>
      <w:r w:rsidR="00771C6E">
        <w:rPr>
          <w:rFonts w:eastAsia="SimSun"/>
          <w:lang w:eastAsia="zh-CN"/>
        </w:rPr>
        <w:t>ephemeris</w:t>
      </w:r>
      <w:r>
        <w:rPr>
          <w:rFonts w:eastAsia="SimSun"/>
          <w:lang w:eastAsia="zh-CN"/>
        </w:rPr>
        <w:t>.</w:t>
      </w:r>
    </w:p>
    <w:p w14:paraId="606FD263" w14:textId="7D837ACB" w:rsidR="004C0232" w:rsidRPr="005F5609" w:rsidRDefault="00771C6E" w:rsidP="00092255">
      <w:pPr>
        <w:jc w:val="both"/>
        <w:rPr>
          <w:rFonts w:eastAsia="Malgun Gothic"/>
          <w:b/>
          <w:szCs w:val="20"/>
          <w:lang w:val="en-GB" w:eastAsia="ko-KR"/>
        </w:rPr>
      </w:pPr>
      <w:r w:rsidRPr="005F5609">
        <w:rPr>
          <w:rFonts w:eastAsia="Malgun Gothic"/>
          <w:b/>
          <w:szCs w:val="20"/>
          <w:lang w:val="en-GB" w:eastAsia="ko-KR"/>
        </w:rPr>
        <w:t>Pr</w:t>
      </w:r>
      <w:r w:rsidR="00F0378D">
        <w:rPr>
          <w:rFonts w:eastAsia="Malgun Gothic"/>
          <w:b/>
          <w:szCs w:val="20"/>
          <w:lang w:val="en-GB" w:eastAsia="ko-KR"/>
        </w:rPr>
        <w:t>oposal 2</w:t>
      </w:r>
      <w:r w:rsidRPr="005F5609">
        <w:rPr>
          <w:rFonts w:eastAsia="Malgun Gothic"/>
          <w:b/>
          <w:szCs w:val="20"/>
          <w:lang w:val="en-GB" w:eastAsia="ko-KR"/>
        </w:rPr>
        <w:t>: UE reports following additional information in RLF report for NTN related failures</w:t>
      </w:r>
    </w:p>
    <w:p w14:paraId="071C03E6" w14:textId="5B66994E" w:rsidR="00771C6E" w:rsidRPr="005F5609" w:rsidRDefault="00771C6E" w:rsidP="00771C6E">
      <w:pPr>
        <w:pStyle w:val="ListParagraph"/>
        <w:numPr>
          <w:ilvl w:val="0"/>
          <w:numId w:val="7"/>
        </w:numPr>
        <w:jc w:val="both"/>
        <w:rPr>
          <w:rFonts w:eastAsia="Malgun Gothic"/>
          <w:b/>
          <w:sz w:val="20"/>
          <w:szCs w:val="20"/>
          <w:lang w:val="en-GB" w:eastAsia="ko-KR"/>
        </w:rPr>
      </w:pPr>
      <w:r w:rsidRPr="005F5609">
        <w:rPr>
          <w:rFonts w:eastAsia="Malgun Gothic"/>
          <w:b/>
          <w:sz w:val="20"/>
          <w:szCs w:val="20"/>
          <w:lang w:val="en-GB" w:eastAsia="ko-KR"/>
        </w:rPr>
        <w:t>Timing Advance reported in the Timing Advance Report MAC CE, if it was triggered during the random access procedure during a handover.</w:t>
      </w:r>
    </w:p>
    <w:p w14:paraId="23929E09" w14:textId="08198E29" w:rsidR="00771C6E" w:rsidRPr="005F5609" w:rsidRDefault="00771C6E" w:rsidP="00771C6E">
      <w:pPr>
        <w:pStyle w:val="ListParagraph"/>
        <w:numPr>
          <w:ilvl w:val="0"/>
          <w:numId w:val="7"/>
        </w:numPr>
        <w:jc w:val="both"/>
        <w:rPr>
          <w:rFonts w:eastAsia="Malgun Gothic"/>
          <w:b/>
          <w:sz w:val="20"/>
          <w:szCs w:val="20"/>
          <w:lang w:val="en-GB" w:eastAsia="ko-KR"/>
        </w:rPr>
      </w:pPr>
      <w:r w:rsidRPr="005F5609">
        <w:rPr>
          <w:rFonts w:eastAsia="Malgun Gothic"/>
          <w:b/>
          <w:sz w:val="20"/>
          <w:szCs w:val="20"/>
          <w:lang w:val="en-GB" w:eastAsia="ko-KR"/>
        </w:rPr>
        <w:t>A flag indicating whether T430 had expired when RLF or HOF occurred.</w:t>
      </w:r>
    </w:p>
    <w:p w14:paraId="576F6993" w14:textId="731ECDCE" w:rsidR="00771C6E" w:rsidRPr="005F5609" w:rsidRDefault="00771C6E" w:rsidP="00771C6E">
      <w:pPr>
        <w:pStyle w:val="ListParagraph"/>
        <w:numPr>
          <w:ilvl w:val="0"/>
          <w:numId w:val="7"/>
        </w:numPr>
        <w:jc w:val="both"/>
        <w:rPr>
          <w:rFonts w:eastAsia="Malgun Gothic"/>
          <w:b/>
          <w:sz w:val="20"/>
          <w:szCs w:val="20"/>
          <w:lang w:val="en-GB" w:eastAsia="ko-KR"/>
        </w:rPr>
      </w:pPr>
      <w:r w:rsidRPr="005F5609">
        <w:rPr>
          <w:rFonts w:eastAsia="Malgun Gothic"/>
          <w:b/>
          <w:sz w:val="20"/>
          <w:szCs w:val="20"/>
          <w:lang w:val="en-GB" w:eastAsia="ko-KR"/>
        </w:rPr>
        <w:t>Information related to satellite position</w:t>
      </w:r>
      <w:r w:rsidR="005F5609">
        <w:rPr>
          <w:rFonts w:eastAsia="Malgun Gothic"/>
          <w:b/>
          <w:sz w:val="20"/>
          <w:szCs w:val="20"/>
          <w:lang w:val="en-GB" w:eastAsia="ko-KR"/>
        </w:rPr>
        <w:t>.</w:t>
      </w:r>
    </w:p>
    <w:p w14:paraId="28EB902E" w14:textId="77777777" w:rsidR="00312375" w:rsidRDefault="00312375" w:rsidP="00BC1A67">
      <w:pPr>
        <w:jc w:val="both"/>
        <w:rPr>
          <w:b/>
          <w:bCs/>
          <w:szCs w:val="20"/>
          <w:lang w:val="en-GB"/>
        </w:rPr>
      </w:pPr>
    </w:p>
    <w:p w14:paraId="78FF7F8A" w14:textId="07E1911B" w:rsidR="0012130D" w:rsidRDefault="0065225C" w:rsidP="0012130D">
      <w:pPr>
        <w:pStyle w:val="Heading2"/>
      </w:pPr>
      <w:r>
        <w:t>Supporting multiple TACs</w:t>
      </w:r>
    </w:p>
    <w:p w14:paraId="7388646A" w14:textId="1E3650F8" w:rsidR="00AF601D" w:rsidRDefault="00771C6E" w:rsidP="00AF601D">
      <w:pPr>
        <w:rPr>
          <w:lang w:val="en-GB" w:eastAsia="en-US"/>
        </w:rPr>
      </w:pPr>
      <w:r>
        <w:rPr>
          <w:lang w:val="en-GB" w:eastAsia="en-US"/>
        </w:rPr>
        <w:t>UE logs the TAC of the relevant cells in v</w:t>
      </w:r>
      <w:r w:rsidR="00AF601D">
        <w:rPr>
          <w:lang w:val="en-GB" w:eastAsia="en-US"/>
        </w:rPr>
        <w:t xml:space="preserve">arious </w:t>
      </w:r>
      <w:r>
        <w:rPr>
          <w:lang w:val="en-GB" w:eastAsia="en-US"/>
        </w:rPr>
        <w:t xml:space="preserve">SON/MDT reports. </w:t>
      </w:r>
      <w:r w:rsidR="00AF601D" w:rsidRPr="00AF601D">
        <w:rPr>
          <w:lang w:val="en-GB" w:eastAsia="en-US"/>
        </w:rPr>
        <w:t>CGI-Info-Logging</w:t>
      </w:r>
      <w:r w:rsidR="00AF601D">
        <w:rPr>
          <w:lang w:val="en-GB" w:eastAsia="en-US"/>
        </w:rPr>
        <w:t xml:space="preserve"> including tracking area </w:t>
      </w:r>
      <w:r w:rsidR="00FE6BCC">
        <w:rPr>
          <w:lang w:val="en-GB" w:eastAsia="en-US"/>
        </w:rPr>
        <w:t xml:space="preserve">code </w:t>
      </w:r>
      <w:r w:rsidR="00AF601D">
        <w:rPr>
          <w:lang w:val="en-GB" w:eastAsia="en-US"/>
        </w:rPr>
        <w:t>of the</w:t>
      </w:r>
      <w:r w:rsidR="00FE6BCC">
        <w:rPr>
          <w:lang w:val="en-GB" w:eastAsia="en-US"/>
        </w:rPr>
        <w:t xml:space="preserve"> cell</w:t>
      </w:r>
      <w:r w:rsidR="00AF601D">
        <w:rPr>
          <w:lang w:val="en-GB" w:eastAsia="en-US"/>
        </w:rPr>
        <w:t>. Since a NTN cell</w:t>
      </w:r>
      <w:r w:rsidR="00FE6BCC">
        <w:rPr>
          <w:lang w:val="en-GB" w:eastAsia="en-US"/>
        </w:rPr>
        <w:t xml:space="preserve"> can have</w:t>
      </w:r>
      <w:r w:rsidR="00AF601D">
        <w:rPr>
          <w:lang w:val="en-GB" w:eastAsia="en-US"/>
        </w:rPr>
        <w:t xml:space="preserve"> multiple TAC(s), </w:t>
      </w:r>
      <w:r w:rsidR="00FE6BCC">
        <w:rPr>
          <w:lang w:val="en-GB" w:eastAsia="en-US"/>
        </w:rPr>
        <w:t xml:space="preserve">UE may </w:t>
      </w:r>
      <w:r w:rsidR="00AF601D">
        <w:rPr>
          <w:lang w:val="en-GB" w:eastAsia="en-US"/>
        </w:rPr>
        <w:t xml:space="preserve">log </w:t>
      </w:r>
      <w:r w:rsidR="00FE6BCC">
        <w:rPr>
          <w:lang w:val="en-GB" w:eastAsia="en-US"/>
        </w:rPr>
        <w:t>the tackingAreaList when</w:t>
      </w:r>
      <w:r w:rsidR="00854133">
        <w:rPr>
          <w:lang w:val="en-GB" w:eastAsia="en-US"/>
        </w:rPr>
        <w:t xml:space="preserve"> it is logging CGI-Info-Logging in various SON/MDT reports.</w:t>
      </w:r>
    </w:p>
    <w:p w14:paraId="316D2233" w14:textId="29C4A0B1" w:rsidR="00FE6BCC" w:rsidRDefault="00F0378D" w:rsidP="00AF601D">
      <w:pPr>
        <w:rPr>
          <w:lang w:val="en-GB" w:eastAsia="en-US"/>
        </w:rPr>
      </w:pPr>
      <w:r>
        <w:rPr>
          <w:rFonts w:eastAsia="Malgun Gothic"/>
          <w:b/>
          <w:lang w:val="en-GB" w:eastAsia="ko-KR"/>
        </w:rPr>
        <w:lastRenderedPageBreak/>
        <w:t>Proposal 3</w:t>
      </w:r>
      <w:r w:rsidR="00FE6BCC" w:rsidRPr="00C45580">
        <w:rPr>
          <w:rFonts w:eastAsia="Malgun Gothic"/>
          <w:b/>
          <w:lang w:val="en-GB" w:eastAsia="ko-KR"/>
        </w:rPr>
        <w:t xml:space="preserve">: </w:t>
      </w:r>
      <w:r w:rsidR="00FE6BCC">
        <w:rPr>
          <w:rFonts w:eastAsia="Malgun Gothic"/>
          <w:b/>
          <w:lang w:val="en-GB" w:eastAsia="ko-KR"/>
        </w:rPr>
        <w:t>UE may log tracking area list in CGI-Info-Logging in various SON/MDT reports.</w:t>
      </w:r>
    </w:p>
    <w:p w14:paraId="5FF2457F" w14:textId="1B427F37" w:rsidR="00A209D6" w:rsidRPr="00F56083" w:rsidRDefault="008C3057" w:rsidP="003F11FC">
      <w:pPr>
        <w:pStyle w:val="Heading1"/>
        <w:jc w:val="both"/>
        <w:rPr>
          <w:rFonts w:cs="Arial"/>
        </w:rPr>
      </w:pPr>
      <w:r w:rsidRPr="00F56083">
        <w:rPr>
          <w:rFonts w:cs="Arial"/>
        </w:rPr>
        <w:t>Conclusion</w:t>
      </w:r>
    </w:p>
    <w:p w14:paraId="0F3B5736" w14:textId="4B883998" w:rsidR="0017699F" w:rsidRDefault="00557338" w:rsidP="0017699F">
      <w:r w:rsidRPr="00F56083">
        <w:t xml:space="preserve">Based on the discussion, </w:t>
      </w:r>
      <w:r w:rsidR="000D64F1" w:rsidRPr="00F56083">
        <w:t xml:space="preserve">we have </w:t>
      </w:r>
      <w:r w:rsidRPr="00F56083">
        <w:t>the following</w:t>
      </w:r>
      <w:r w:rsidR="00D24FD5">
        <w:t xml:space="preserve"> observation</w:t>
      </w:r>
      <w:r w:rsidR="00001DC2">
        <w:t>s</w:t>
      </w:r>
      <w:r w:rsidR="00D24FD5">
        <w:t xml:space="preserve"> and</w:t>
      </w:r>
      <w:r w:rsidRPr="00F56083">
        <w:t xml:space="preserve"> </w:t>
      </w:r>
      <w:r w:rsidR="003F3214" w:rsidRPr="00F56083">
        <w:t>proposal</w:t>
      </w:r>
      <w:r w:rsidR="00593C4B" w:rsidRPr="00F56083">
        <w:t>s</w:t>
      </w:r>
      <w:r w:rsidRPr="00F56083">
        <w:t>.</w:t>
      </w:r>
    </w:p>
    <w:p w14:paraId="0BF63E7C" w14:textId="676C1AB8" w:rsidR="00F0378D" w:rsidRDefault="00F0378D" w:rsidP="00F0378D">
      <w:pPr>
        <w:rPr>
          <w:b/>
          <w:bCs/>
          <w:szCs w:val="20"/>
          <w:lang w:val="en-GB"/>
        </w:rPr>
      </w:pPr>
      <w:r>
        <w:rPr>
          <w:b/>
          <w:bCs/>
          <w:szCs w:val="20"/>
          <w:lang w:val="en-GB"/>
        </w:rPr>
        <w:t>Observation</w:t>
      </w:r>
      <w:r w:rsidRPr="00192CC5">
        <w:rPr>
          <w:b/>
          <w:bCs/>
          <w:szCs w:val="20"/>
          <w:lang w:val="en-GB"/>
        </w:rPr>
        <w:t xml:space="preserve"> </w:t>
      </w:r>
      <w:r>
        <w:rPr>
          <w:b/>
          <w:bCs/>
          <w:szCs w:val="20"/>
          <w:lang w:val="en-GB"/>
        </w:rPr>
        <w:t>1</w:t>
      </w:r>
      <w:r w:rsidRPr="00192CC5">
        <w:rPr>
          <w:b/>
          <w:bCs/>
          <w:szCs w:val="20"/>
          <w:lang w:val="en-GB"/>
        </w:rPr>
        <w:t xml:space="preserve">: </w:t>
      </w:r>
      <w:r>
        <w:rPr>
          <w:b/>
          <w:bCs/>
          <w:szCs w:val="20"/>
          <w:lang w:val="en-GB"/>
        </w:rPr>
        <w:t xml:space="preserve">The basic principle of Logged MDT is that UE just logs the measurements it has and is not required to perform any new measurements. </w:t>
      </w:r>
    </w:p>
    <w:p w14:paraId="02C0FFB9" w14:textId="7C40CC42" w:rsidR="00F0378D" w:rsidRDefault="00F0378D" w:rsidP="00F0378D">
      <w:pPr>
        <w:jc w:val="both"/>
        <w:rPr>
          <w:b/>
          <w:bCs/>
          <w:szCs w:val="20"/>
          <w:lang w:val="en-GB"/>
        </w:rPr>
      </w:pPr>
      <w:r>
        <w:rPr>
          <w:b/>
          <w:bCs/>
          <w:szCs w:val="20"/>
          <w:lang w:val="en-GB"/>
        </w:rPr>
        <w:t>Observation</w:t>
      </w:r>
      <w:r w:rsidRPr="00192CC5">
        <w:rPr>
          <w:b/>
          <w:bCs/>
          <w:szCs w:val="20"/>
          <w:lang w:val="en-GB"/>
        </w:rPr>
        <w:t xml:space="preserve"> </w:t>
      </w:r>
      <w:r>
        <w:rPr>
          <w:b/>
          <w:bCs/>
          <w:szCs w:val="20"/>
          <w:lang w:val="en-GB"/>
        </w:rPr>
        <w:t>2</w:t>
      </w:r>
      <w:r w:rsidRPr="00192CC5">
        <w:rPr>
          <w:b/>
          <w:bCs/>
          <w:szCs w:val="20"/>
          <w:lang w:val="en-GB"/>
        </w:rPr>
        <w:t xml:space="preserve">: </w:t>
      </w:r>
      <w:r>
        <w:rPr>
          <w:b/>
          <w:bCs/>
          <w:szCs w:val="20"/>
          <w:lang w:val="en-GB"/>
        </w:rPr>
        <w:t xml:space="preserve">Geographical area based </w:t>
      </w:r>
      <w:r w:rsidRPr="00192CC5">
        <w:rPr>
          <w:b/>
          <w:bCs/>
          <w:szCs w:val="20"/>
          <w:lang w:val="en-GB"/>
        </w:rPr>
        <w:t>Area Scope for logged MDT</w:t>
      </w:r>
      <w:r>
        <w:rPr>
          <w:b/>
          <w:bCs/>
          <w:szCs w:val="20"/>
          <w:lang w:val="en-GB"/>
        </w:rPr>
        <w:t xml:space="preserve"> requires UE to perform additional measureme</w:t>
      </w:r>
      <w:r w:rsidR="00887329">
        <w:rPr>
          <w:b/>
          <w:bCs/>
          <w:szCs w:val="20"/>
          <w:lang w:val="en-GB"/>
        </w:rPr>
        <w:t>n</w:t>
      </w:r>
      <w:r>
        <w:rPr>
          <w:b/>
          <w:bCs/>
          <w:szCs w:val="20"/>
          <w:lang w:val="en-GB"/>
        </w:rPr>
        <w:t>ts and has a huge impact on UE battery performance.</w:t>
      </w:r>
    </w:p>
    <w:p w14:paraId="66DE80AD" w14:textId="77777777" w:rsidR="00E40614" w:rsidRDefault="00E40614" w:rsidP="00E40614">
      <w:pPr>
        <w:jc w:val="both"/>
        <w:rPr>
          <w:b/>
          <w:bCs/>
          <w:szCs w:val="20"/>
          <w:lang w:val="en-GB"/>
        </w:rPr>
      </w:pPr>
      <w:r w:rsidRPr="00192CC5">
        <w:rPr>
          <w:b/>
          <w:bCs/>
          <w:szCs w:val="20"/>
          <w:lang w:val="en-GB"/>
        </w:rPr>
        <w:t xml:space="preserve">Proposal </w:t>
      </w:r>
      <w:r>
        <w:rPr>
          <w:b/>
          <w:bCs/>
          <w:szCs w:val="20"/>
          <w:lang w:val="en-GB"/>
        </w:rPr>
        <w:t>1</w:t>
      </w:r>
      <w:r w:rsidRPr="00192CC5">
        <w:rPr>
          <w:b/>
          <w:bCs/>
          <w:szCs w:val="20"/>
          <w:lang w:val="en-GB"/>
        </w:rPr>
        <w:t xml:space="preserve">: </w:t>
      </w:r>
      <w:r>
        <w:rPr>
          <w:b/>
          <w:bCs/>
          <w:szCs w:val="20"/>
          <w:lang w:val="en-GB"/>
        </w:rPr>
        <w:t xml:space="preserve">RAN2 to send LS to RAN3 informing that geographical area based </w:t>
      </w:r>
      <w:r w:rsidRPr="00192CC5">
        <w:rPr>
          <w:b/>
          <w:bCs/>
          <w:szCs w:val="20"/>
          <w:lang w:val="en-GB"/>
        </w:rPr>
        <w:t>Area Scope</w:t>
      </w:r>
      <w:r>
        <w:rPr>
          <w:b/>
          <w:bCs/>
          <w:szCs w:val="20"/>
          <w:lang w:val="en-GB"/>
        </w:rPr>
        <w:t xml:space="preserve"> over Uu</w:t>
      </w:r>
      <w:r w:rsidRPr="00192CC5">
        <w:rPr>
          <w:b/>
          <w:bCs/>
          <w:szCs w:val="20"/>
          <w:lang w:val="en-GB"/>
        </w:rPr>
        <w:t xml:space="preserve"> is not </w:t>
      </w:r>
      <w:r>
        <w:rPr>
          <w:b/>
          <w:bCs/>
          <w:szCs w:val="20"/>
          <w:lang w:val="en-GB"/>
        </w:rPr>
        <w:t>feasible</w:t>
      </w:r>
      <w:r w:rsidRPr="00192CC5">
        <w:rPr>
          <w:b/>
          <w:bCs/>
          <w:szCs w:val="20"/>
          <w:lang w:val="en-GB"/>
        </w:rPr>
        <w:t xml:space="preserve"> for logged MDT</w:t>
      </w:r>
      <w:r>
        <w:rPr>
          <w:b/>
          <w:bCs/>
          <w:szCs w:val="20"/>
          <w:lang w:val="en-GB"/>
        </w:rPr>
        <w:t>.</w:t>
      </w:r>
    </w:p>
    <w:p w14:paraId="016702AB" w14:textId="15695723" w:rsidR="005F5609" w:rsidRPr="005F5609" w:rsidRDefault="00E40614" w:rsidP="005F5609">
      <w:pPr>
        <w:jc w:val="both"/>
        <w:rPr>
          <w:rFonts w:eastAsia="Malgun Gothic"/>
          <w:b/>
          <w:szCs w:val="20"/>
          <w:lang w:val="en-GB" w:eastAsia="ko-KR"/>
        </w:rPr>
      </w:pPr>
      <w:r>
        <w:rPr>
          <w:rFonts w:eastAsia="Malgun Gothic"/>
          <w:b/>
          <w:szCs w:val="20"/>
          <w:lang w:val="en-GB" w:eastAsia="ko-KR"/>
        </w:rPr>
        <w:t>Proposal 2</w:t>
      </w:r>
      <w:r w:rsidR="005F5609" w:rsidRPr="005F5609">
        <w:rPr>
          <w:rFonts w:eastAsia="Malgun Gothic"/>
          <w:b/>
          <w:szCs w:val="20"/>
          <w:lang w:val="en-GB" w:eastAsia="ko-KR"/>
        </w:rPr>
        <w:t>: UE reports following additional information in RLF report for NTN related failures</w:t>
      </w:r>
    </w:p>
    <w:p w14:paraId="67DE0B46" w14:textId="4A96ECFF" w:rsidR="005F5609" w:rsidRPr="005F5609" w:rsidRDefault="00535584" w:rsidP="005F5609">
      <w:pPr>
        <w:pStyle w:val="ListParagraph"/>
        <w:numPr>
          <w:ilvl w:val="0"/>
          <w:numId w:val="9"/>
        </w:numPr>
        <w:jc w:val="both"/>
        <w:rPr>
          <w:rFonts w:eastAsia="Malgun Gothic"/>
          <w:b/>
          <w:sz w:val="20"/>
          <w:szCs w:val="20"/>
          <w:lang w:val="en-GB" w:eastAsia="ko-KR"/>
        </w:rPr>
      </w:pPr>
      <w:r>
        <w:rPr>
          <w:rFonts w:eastAsia="Malgun Gothic"/>
          <w:b/>
          <w:sz w:val="20"/>
          <w:szCs w:val="20"/>
          <w:lang w:val="en-GB" w:eastAsia="ko-KR"/>
        </w:rPr>
        <w:t xml:space="preserve">Timing Advance reported in the </w:t>
      </w:r>
      <w:r w:rsidR="005F5609" w:rsidRPr="005F5609">
        <w:rPr>
          <w:rFonts w:eastAsia="Malgun Gothic"/>
          <w:b/>
          <w:sz w:val="20"/>
          <w:szCs w:val="20"/>
          <w:lang w:val="en-GB" w:eastAsia="ko-KR"/>
        </w:rPr>
        <w:t>Timing Advance Report MAC CE, if it was triggered during the random access procedure during a handover.</w:t>
      </w:r>
    </w:p>
    <w:p w14:paraId="4C635C44" w14:textId="77777777" w:rsidR="005F5609" w:rsidRPr="005F5609" w:rsidRDefault="005F5609" w:rsidP="005F5609">
      <w:pPr>
        <w:pStyle w:val="ListParagraph"/>
        <w:numPr>
          <w:ilvl w:val="0"/>
          <w:numId w:val="9"/>
        </w:numPr>
        <w:jc w:val="both"/>
        <w:rPr>
          <w:rFonts w:eastAsia="Malgun Gothic"/>
          <w:b/>
          <w:sz w:val="20"/>
          <w:szCs w:val="20"/>
          <w:lang w:val="en-GB" w:eastAsia="ko-KR"/>
        </w:rPr>
      </w:pPr>
      <w:r w:rsidRPr="005F5609">
        <w:rPr>
          <w:rFonts w:eastAsia="Malgun Gothic"/>
          <w:b/>
          <w:sz w:val="20"/>
          <w:szCs w:val="20"/>
          <w:lang w:val="en-GB" w:eastAsia="ko-KR"/>
        </w:rPr>
        <w:t>A flag indicating whether T430 had expired when RLF or HOF occurred.</w:t>
      </w:r>
    </w:p>
    <w:p w14:paraId="1AD767DC" w14:textId="181B52E0" w:rsidR="005F5609" w:rsidRDefault="005F5609" w:rsidP="005F5609">
      <w:pPr>
        <w:pStyle w:val="ListParagraph"/>
        <w:numPr>
          <w:ilvl w:val="0"/>
          <w:numId w:val="9"/>
        </w:numPr>
        <w:jc w:val="both"/>
        <w:rPr>
          <w:rFonts w:eastAsia="Malgun Gothic"/>
          <w:b/>
          <w:sz w:val="20"/>
          <w:szCs w:val="20"/>
          <w:lang w:val="en-GB" w:eastAsia="ko-KR"/>
        </w:rPr>
      </w:pPr>
      <w:r w:rsidRPr="005F5609">
        <w:rPr>
          <w:rFonts w:eastAsia="Malgun Gothic"/>
          <w:b/>
          <w:sz w:val="20"/>
          <w:szCs w:val="20"/>
          <w:lang w:val="en-GB" w:eastAsia="ko-KR"/>
        </w:rPr>
        <w:t>Information related to satellite position</w:t>
      </w:r>
      <w:r>
        <w:rPr>
          <w:rFonts w:eastAsia="Malgun Gothic"/>
          <w:b/>
          <w:sz w:val="20"/>
          <w:szCs w:val="20"/>
          <w:lang w:val="en-GB" w:eastAsia="ko-KR"/>
        </w:rPr>
        <w:t>.</w:t>
      </w:r>
    </w:p>
    <w:p w14:paraId="6B470961" w14:textId="77777777" w:rsidR="006F1743" w:rsidRPr="005F5609" w:rsidRDefault="006F1743" w:rsidP="006F1743">
      <w:pPr>
        <w:pStyle w:val="ListParagraph"/>
        <w:ind w:left="1778"/>
        <w:jc w:val="both"/>
        <w:rPr>
          <w:rFonts w:eastAsia="Malgun Gothic"/>
          <w:b/>
          <w:sz w:val="20"/>
          <w:szCs w:val="20"/>
          <w:lang w:val="en-GB" w:eastAsia="ko-KR"/>
        </w:rPr>
      </w:pPr>
    </w:p>
    <w:p w14:paraId="693A939C" w14:textId="404DF130" w:rsidR="00FE6BCC" w:rsidRPr="00FE6BCC" w:rsidRDefault="00E40614" w:rsidP="00FE6BCC">
      <w:pPr>
        <w:jc w:val="both"/>
        <w:rPr>
          <w:rFonts w:eastAsia="Malgun Gothic"/>
          <w:b/>
          <w:lang w:val="en-GB" w:eastAsia="ko-KR"/>
        </w:rPr>
      </w:pPr>
      <w:r>
        <w:rPr>
          <w:rFonts w:eastAsia="Malgun Gothic"/>
          <w:b/>
          <w:lang w:val="en-GB" w:eastAsia="ko-KR"/>
        </w:rPr>
        <w:t>Proposal 3</w:t>
      </w:r>
      <w:r w:rsidR="00FE6BCC" w:rsidRPr="00FE6BCC">
        <w:rPr>
          <w:rFonts w:eastAsia="Malgun Gothic"/>
          <w:b/>
          <w:lang w:val="en-GB" w:eastAsia="ko-KR"/>
        </w:rPr>
        <w:t>: UE may log tracking area list in CGI-Info-Logging in various SON/MDT reports.</w:t>
      </w:r>
    </w:p>
    <w:p w14:paraId="4E5B87E1" w14:textId="44EE9A10" w:rsidR="00BC13D1" w:rsidRDefault="00BC13D1" w:rsidP="00BC13D1">
      <w:pPr>
        <w:pStyle w:val="Heading1"/>
        <w:jc w:val="both"/>
      </w:pPr>
      <w:r>
        <w:t>References</w:t>
      </w:r>
    </w:p>
    <w:p w14:paraId="1889DBC3" w14:textId="31AEEB46" w:rsidR="006C68D9" w:rsidRDefault="00713336" w:rsidP="006C68D9">
      <w:pPr>
        <w:pStyle w:val="Reference0"/>
        <w:rPr>
          <w:rFonts w:ascii="Arial" w:hAnsi="Arial" w:cs="Arial"/>
          <w:sz w:val="20"/>
        </w:rPr>
      </w:pPr>
      <w:r w:rsidRPr="008D6C0E">
        <w:rPr>
          <w:rFonts w:ascii="Arial" w:hAnsi="Arial" w:cs="Arial"/>
          <w:sz w:val="20"/>
        </w:rPr>
        <w:t>[1]</w:t>
      </w:r>
      <w:r w:rsidR="00FE6BCC" w:rsidRPr="00FE6BCC">
        <w:t xml:space="preserve"> </w:t>
      </w:r>
      <w:r w:rsidR="00FE6BCC" w:rsidRPr="00FE6BCC">
        <w:rPr>
          <w:rFonts w:ascii="Arial" w:hAnsi="Arial" w:cs="Arial"/>
          <w:sz w:val="20"/>
        </w:rPr>
        <w:t>RP-234038</w:t>
      </w:r>
      <w:r w:rsidR="00BB2BBC" w:rsidRPr="008D6C0E">
        <w:rPr>
          <w:rFonts w:ascii="Arial" w:hAnsi="Arial" w:cs="Arial"/>
          <w:sz w:val="20"/>
        </w:rPr>
        <w:t xml:space="preserve">: </w:t>
      </w:r>
      <w:r w:rsidR="00FE6BCC" w:rsidRPr="00FE6BCC">
        <w:rPr>
          <w:rFonts w:ascii="Arial" w:hAnsi="Arial" w:cs="Arial"/>
          <w:sz w:val="20"/>
        </w:rPr>
        <w:t>New WID on Data collection for SON (Self-Organising Networks)/MDT (Minimization of Drive Tests) in NR standalone and MR-DC (Multi-Radio Dual Connectivity) Phase 4</w:t>
      </w:r>
    </w:p>
    <w:p w14:paraId="344E9284" w14:textId="1CFF0C65" w:rsidR="003E0461" w:rsidRPr="008D6C0E" w:rsidRDefault="00024958" w:rsidP="00024958">
      <w:pPr>
        <w:pStyle w:val="Reference0"/>
        <w:rPr>
          <w:rFonts w:ascii="Arial" w:eastAsia="Malgun Gothic" w:hAnsi="Arial" w:cs="Arial"/>
          <w:sz w:val="20"/>
          <w:lang w:eastAsia="ko-KR"/>
        </w:rPr>
      </w:pPr>
      <w:r w:rsidRPr="00F16080">
        <w:rPr>
          <w:rFonts w:ascii="Arial" w:hAnsi="Arial" w:cs="Arial" w:hint="eastAsia"/>
          <w:sz w:val="20"/>
        </w:rPr>
        <w:t>[2]</w:t>
      </w:r>
      <w:r w:rsidR="00F16080" w:rsidRPr="00F16080">
        <w:rPr>
          <w:rFonts w:ascii="Arial" w:hAnsi="Arial" w:cs="Arial" w:hint="eastAsia"/>
          <w:sz w:val="20"/>
        </w:rPr>
        <w:t xml:space="preserve"> </w:t>
      </w:r>
      <w:r w:rsidR="000B3C95" w:rsidRPr="000B3C95">
        <w:rPr>
          <w:rFonts w:ascii="Arial" w:hAnsi="Arial" w:cs="Arial"/>
          <w:sz w:val="20"/>
        </w:rPr>
        <w:t>R3-247908</w:t>
      </w:r>
      <w:r w:rsidR="00F16080" w:rsidRPr="00F16080">
        <w:rPr>
          <w:rFonts w:ascii="Arial" w:hAnsi="Arial" w:cs="Arial"/>
          <w:sz w:val="20"/>
        </w:rPr>
        <w:t>:</w:t>
      </w:r>
      <w:r w:rsidRPr="00F16080">
        <w:rPr>
          <w:rFonts w:ascii="Arial" w:hAnsi="Arial" w:cs="Arial" w:hint="eastAsia"/>
          <w:sz w:val="20"/>
        </w:rPr>
        <w:t xml:space="preserve"> </w:t>
      </w:r>
      <w:r w:rsidR="000B3C95" w:rsidRPr="000B3C95">
        <w:rPr>
          <w:rFonts w:ascii="Arial" w:hAnsi="Arial" w:cs="Arial"/>
          <w:sz w:val="20"/>
        </w:rPr>
        <w:t>LS on RAN3 agreements with impact on UE related to the Rel-19 SON/MDT</w:t>
      </w:r>
    </w:p>
    <w:sectPr w:rsidR="003E0461" w:rsidRPr="008D6C0E">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5F02985" w16cid:durableId="28EDB565"/>
  <w16cid:commentId w16cid:paraId="4106B5C9" w16cid:durableId="28EDB5BA"/>
  <w16cid:commentId w16cid:paraId="6C2F2B79" w16cid:durableId="28EDB650"/>
  <w16cid:commentId w16cid:paraId="24C3BB90" w16cid:durableId="28EDB6C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DA06B1" w14:textId="77777777" w:rsidR="00100861" w:rsidRDefault="00100861" w:rsidP="00051DF8">
      <w:r>
        <w:separator/>
      </w:r>
    </w:p>
  </w:endnote>
  <w:endnote w:type="continuationSeparator" w:id="0">
    <w:p w14:paraId="19908006" w14:textId="77777777" w:rsidR="00100861" w:rsidRDefault="00100861" w:rsidP="00051DF8">
      <w:r>
        <w:continuationSeparator/>
      </w:r>
    </w:p>
  </w:endnote>
  <w:endnote w:type="continuationNotice" w:id="1">
    <w:p w14:paraId="34B87418" w14:textId="77777777" w:rsidR="00100861" w:rsidRDefault="00100861"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1FEDC2" w14:textId="77777777" w:rsidR="00100861" w:rsidRDefault="00100861" w:rsidP="00051DF8">
      <w:r>
        <w:separator/>
      </w:r>
    </w:p>
  </w:footnote>
  <w:footnote w:type="continuationSeparator" w:id="0">
    <w:p w14:paraId="02081AF1" w14:textId="77777777" w:rsidR="00100861" w:rsidRDefault="00100861" w:rsidP="00051DF8">
      <w:r>
        <w:continuationSeparator/>
      </w:r>
    </w:p>
  </w:footnote>
  <w:footnote w:type="continuationNotice" w:id="1">
    <w:p w14:paraId="313F192C" w14:textId="77777777" w:rsidR="00100861" w:rsidRDefault="00100861"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137B"/>
    <w:multiLevelType w:val="hybridMultilevel"/>
    <w:tmpl w:val="F3D0111C"/>
    <w:lvl w:ilvl="0" w:tplc="3468DC46">
      <w:start w:val="1"/>
      <w:numFmt w:val="lowerLetter"/>
      <w:lvlText w:val="%1."/>
      <w:lvlJc w:val="left"/>
      <w:pPr>
        <w:ind w:left="1778" w:hanging="360"/>
      </w:pPr>
      <w:rPr>
        <w:rFonts w:hint="default"/>
      </w:rPr>
    </w:lvl>
    <w:lvl w:ilvl="1" w:tplc="40090019" w:tentative="1">
      <w:start w:val="1"/>
      <w:numFmt w:val="lowerLetter"/>
      <w:lvlText w:val="%2."/>
      <w:lvlJc w:val="left"/>
      <w:pPr>
        <w:ind w:left="2498" w:hanging="360"/>
      </w:pPr>
    </w:lvl>
    <w:lvl w:ilvl="2" w:tplc="4009001B" w:tentative="1">
      <w:start w:val="1"/>
      <w:numFmt w:val="lowerRoman"/>
      <w:lvlText w:val="%3."/>
      <w:lvlJc w:val="right"/>
      <w:pPr>
        <w:ind w:left="3218" w:hanging="180"/>
      </w:pPr>
    </w:lvl>
    <w:lvl w:ilvl="3" w:tplc="4009000F" w:tentative="1">
      <w:start w:val="1"/>
      <w:numFmt w:val="decimal"/>
      <w:lvlText w:val="%4."/>
      <w:lvlJc w:val="left"/>
      <w:pPr>
        <w:ind w:left="3938" w:hanging="360"/>
      </w:pPr>
    </w:lvl>
    <w:lvl w:ilvl="4" w:tplc="40090019" w:tentative="1">
      <w:start w:val="1"/>
      <w:numFmt w:val="lowerLetter"/>
      <w:lvlText w:val="%5."/>
      <w:lvlJc w:val="left"/>
      <w:pPr>
        <w:ind w:left="4658" w:hanging="360"/>
      </w:pPr>
    </w:lvl>
    <w:lvl w:ilvl="5" w:tplc="4009001B" w:tentative="1">
      <w:start w:val="1"/>
      <w:numFmt w:val="lowerRoman"/>
      <w:lvlText w:val="%6."/>
      <w:lvlJc w:val="right"/>
      <w:pPr>
        <w:ind w:left="5378" w:hanging="180"/>
      </w:pPr>
    </w:lvl>
    <w:lvl w:ilvl="6" w:tplc="4009000F" w:tentative="1">
      <w:start w:val="1"/>
      <w:numFmt w:val="decimal"/>
      <w:lvlText w:val="%7."/>
      <w:lvlJc w:val="left"/>
      <w:pPr>
        <w:ind w:left="6098" w:hanging="360"/>
      </w:pPr>
    </w:lvl>
    <w:lvl w:ilvl="7" w:tplc="40090019" w:tentative="1">
      <w:start w:val="1"/>
      <w:numFmt w:val="lowerLetter"/>
      <w:lvlText w:val="%8."/>
      <w:lvlJc w:val="left"/>
      <w:pPr>
        <w:ind w:left="6818" w:hanging="360"/>
      </w:pPr>
    </w:lvl>
    <w:lvl w:ilvl="8" w:tplc="4009001B" w:tentative="1">
      <w:start w:val="1"/>
      <w:numFmt w:val="lowerRoman"/>
      <w:lvlText w:val="%9."/>
      <w:lvlJc w:val="right"/>
      <w:pPr>
        <w:ind w:left="7538" w:hanging="180"/>
      </w:pPr>
    </w:lvl>
  </w:abstractNum>
  <w:abstractNum w:abstractNumId="1" w15:restartNumberingAfterBreak="0">
    <w:nsid w:val="049D2F4F"/>
    <w:multiLevelType w:val="hybridMultilevel"/>
    <w:tmpl w:val="F3D0111C"/>
    <w:lvl w:ilvl="0" w:tplc="3468DC46">
      <w:start w:val="1"/>
      <w:numFmt w:val="lowerLetter"/>
      <w:lvlText w:val="%1."/>
      <w:lvlJc w:val="left"/>
      <w:pPr>
        <w:ind w:left="1778" w:hanging="360"/>
      </w:pPr>
      <w:rPr>
        <w:rFonts w:hint="default"/>
      </w:rPr>
    </w:lvl>
    <w:lvl w:ilvl="1" w:tplc="40090019" w:tentative="1">
      <w:start w:val="1"/>
      <w:numFmt w:val="lowerLetter"/>
      <w:lvlText w:val="%2."/>
      <w:lvlJc w:val="left"/>
      <w:pPr>
        <w:ind w:left="2498" w:hanging="360"/>
      </w:pPr>
    </w:lvl>
    <w:lvl w:ilvl="2" w:tplc="4009001B" w:tentative="1">
      <w:start w:val="1"/>
      <w:numFmt w:val="lowerRoman"/>
      <w:lvlText w:val="%3."/>
      <w:lvlJc w:val="right"/>
      <w:pPr>
        <w:ind w:left="3218" w:hanging="180"/>
      </w:pPr>
    </w:lvl>
    <w:lvl w:ilvl="3" w:tplc="4009000F" w:tentative="1">
      <w:start w:val="1"/>
      <w:numFmt w:val="decimal"/>
      <w:lvlText w:val="%4."/>
      <w:lvlJc w:val="left"/>
      <w:pPr>
        <w:ind w:left="3938" w:hanging="360"/>
      </w:pPr>
    </w:lvl>
    <w:lvl w:ilvl="4" w:tplc="40090019" w:tentative="1">
      <w:start w:val="1"/>
      <w:numFmt w:val="lowerLetter"/>
      <w:lvlText w:val="%5."/>
      <w:lvlJc w:val="left"/>
      <w:pPr>
        <w:ind w:left="4658" w:hanging="360"/>
      </w:pPr>
    </w:lvl>
    <w:lvl w:ilvl="5" w:tplc="4009001B" w:tentative="1">
      <w:start w:val="1"/>
      <w:numFmt w:val="lowerRoman"/>
      <w:lvlText w:val="%6."/>
      <w:lvlJc w:val="right"/>
      <w:pPr>
        <w:ind w:left="5378" w:hanging="180"/>
      </w:pPr>
    </w:lvl>
    <w:lvl w:ilvl="6" w:tplc="4009000F" w:tentative="1">
      <w:start w:val="1"/>
      <w:numFmt w:val="decimal"/>
      <w:lvlText w:val="%7."/>
      <w:lvlJc w:val="left"/>
      <w:pPr>
        <w:ind w:left="6098" w:hanging="360"/>
      </w:pPr>
    </w:lvl>
    <w:lvl w:ilvl="7" w:tplc="40090019" w:tentative="1">
      <w:start w:val="1"/>
      <w:numFmt w:val="lowerLetter"/>
      <w:lvlText w:val="%8."/>
      <w:lvlJc w:val="left"/>
      <w:pPr>
        <w:ind w:left="6818" w:hanging="360"/>
      </w:pPr>
    </w:lvl>
    <w:lvl w:ilvl="8" w:tplc="4009001B" w:tentative="1">
      <w:start w:val="1"/>
      <w:numFmt w:val="lowerRoman"/>
      <w:lvlText w:val="%9."/>
      <w:lvlJc w:val="right"/>
      <w:pPr>
        <w:ind w:left="7538" w:hanging="180"/>
      </w:pPr>
    </w:lvl>
  </w:abstractNum>
  <w:abstractNum w:abstractNumId="2" w15:restartNumberingAfterBreak="0">
    <w:nsid w:val="36A34518"/>
    <w:multiLevelType w:val="multilevel"/>
    <w:tmpl w:val="36A34518"/>
    <w:lvl w:ilvl="0">
      <w:start w:val="1"/>
      <w:numFmt w:val="decimal"/>
      <w:pStyle w:val="Proposal"/>
      <w:lvlText w:val="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52CA6768"/>
    <w:multiLevelType w:val="hybridMultilevel"/>
    <w:tmpl w:val="9A2AC22C"/>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632146A8"/>
    <w:multiLevelType w:val="hybridMultilevel"/>
    <w:tmpl w:val="F3D0111C"/>
    <w:lvl w:ilvl="0" w:tplc="3468DC46">
      <w:start w:val="1"/>
      <w:numFmt w:val="lowerLetter"/>
      <w:lvlText w:val="%1."/>
      <w:lvlJc w:val="left"/>
      <w:pPr>
        <w:ind w:left="1778" w:hanging="360"/>
      </w:pPr>
      <w:rPr>
        <w:rFonts w:hint="default"/>
      </w:rPr>
    </w:lvl>
    <w:lvl w:ilvl="1" w:tplc="40090019" w:tentative="1">
      <w:start w:val="1"/>
      <w:numFmt w:val="lowerLetter"/>
      <w:lvlText w:val="%2."/>
      <w:lvlJc w:val="left"/>
      <w:pPr>
        <w:ind w:left="2498" w:hanging="360"/>
      </w:pPr>
    </w:lvl>
    <w:lvl w:ilvl="2" w:tplc="4009001B" w:tentative="1">
      <w:start w:val="1"/>
      <w:numFmt w:val="lowerRoman"/>
      <w:lvlText w:val="%3."/>
      <w:lvlJc w:val="right"/>
      <w:pPr>
        <w:ind w:left="3218" w:hanging="180"/>
      </w:pPr>
    </w:lvl>
    <w:lvl w:ilvl="3" w:tplc="4009000F" w:tentative="1">
      <w:start w:val="1"/>
      <w:numFmt w:val="decimal"/>
      <w:lvlText w:val="%4."/>
      <w:lvlJc w:val="left"/>
      <w:pPr>
        <w:ind w:left="3938" w:hanging="360"/>
      </w:pPr>
    </w:lvl>
    <w:lvl w:ilvl="4" w:tplc="40090019" w:tentative="1">
      <w:start w:val="1"/>
      <w:numFmt w:val="lowerLetter"/>
      <w:lvlText w:val="%5."/>
      <w:lvlJc w:val="left"/>
      <w:pPr>
        <w:ind w:left="4658" w:hanging="360"/>
      </w:pPr>
    </w:lvl>
    <w:lvl w:ilvl="5" w:tplc="4009001B" w:tentative="1">
      <w:start w:val="1"/>
      <w:numFmt w:val="lowerRoman"/>
      <w:lvlText w:val="%6."/>
      <w:lvlJc w:val="right"/>
      <w:pPr>
        <w:ind w:left="5378" w:hanging="180"/>
      </w:pPr>
    </w:lvl>
    <w:lvl w:ilvl="6" w:tplc="4009000F" w:tentative="1">
      <w:start w:val="1"/>
      <w:numFmt w:val="decimal"/>
      <w:lvlText w:val="%7."/>
      <w:lvlJc w:val="left"/>
      <w:pPr>
        <w:ind w:left="6098" w:hanging="360"/>
      </w:pPr>
    </w:lvl>
    <w:lvl w:ilvl="7" w:tplc="40090019" w:tentative="1">
      <w:start w:val="1"/>
      <w:numFmt w:val="lowerLetter"/>
      <w:lvlText w:val="%8."/>
      <w:lvlJc w:val="left"/>
      <w:pPr>
        <w:ind w:left="6818" w:hanging="360"/>
      </w:pPr>
    </w:lvl>
    <w:lvl w:ilvl="8" w:tplc="4009001B" w:tentative="1">
      <w:start w:val="1"/>
      <w:numFmt w:val="lowerRoman"/>
      <w:lvlText w:val="%9."/>
      <w:lvlJc w:val="right"/>
      <w:pPr>
        <w:ind w:left="7538" w:hanging="180"/>
      </w:pPr>
    </w:lvl>
  </w:abstractNum>
  <w:abstractNum w:abstractNumId="5" w15:restartNumberingAfterBreak="0">
    <w:nsid w:val="6430461C"/>
    <w:multiLevelType w:val="hybridMultilevel"/>
    <w:tmpl w:val="D9F053E6"/>
    <w:lvl w:ilvl="0" w:tplc="02D034CE">
      <w:start w:val="1"/>
      <w:numFmt w:val="bullet"/>
      <w:lvlText w:val="•"/>
      <w:lvlJc w:val="left"/>
      <w:pPr>
        <w:tabs>
          <w:tab w:val="num" w:pos="720"/>
        </w:tabs>
        <w:ind w:left="720" w:hanging="360"/>
      </w:pPr>
      <w:rPr>
        <w:rFonts w:ascii="Arial" w:hAnsi="Arial" w:hint="default"/>
      </w:rPr>
    </w:lvl>
    <w:lvl w:ilvl="1" w:tplc="3B72E002">
      <w:start w:val="1"/>
      <w:numFmt w:val="bullet"/>
      <w:lvlText w:val="•"/>
      <w:lvlJc w:val="left"/>
      <w:pPr>
        <w:tabs>
          <w:tab w:val="num" w:pos="1440"/>
        </w:tabs>
        <w:ind w:left="1440" w:hanging="360"/>
      </w:pPr>
      <w:rPr>
        <w:rFonts w:ascii="Arial" w:hAnsi="Arial" w:hint="default"/>
      </w:rPr>
    </w:lvl>
    <w:lvl w:ilvl="2" w:tplc="3C4C77D4" w:tentative="1">
      <w:start w:val="1"/>
      <w:numFmt w:val="bullet"/>
      <w:lvlText w:val="•"/>
      <w:lvlJc w:val="left"/>
      <w:pPr>
        <w:tabs>
          <w:tab w:val="num" w:pos="2160"/>
        </w:tabs>
        <w:ind w:left="2160" w:hanging="360"/>
      </w:pPr>
      <w:rPr>
        <w:rFonts w:ascii="Arial" w:hAnsi="Arial" w:hint="default"/>
      </w:rPr>
    </w:lvl>
    <w:lvl w:ilvl="3" w:tplc="6980DFCE" w:tentative="1">
      <w:start w:val="1"/>
      <w:numFmt w:val="bullet"/>
      <w:lvlText w:val="•"/>
      <w:lvlJc w:val="left"/>
      <w:pPr>
        <w:tabs>
          <w:tab w:val="num" w:pos="2880"/>
        </w:tabs>
        <w:ind w:left="2880" w:hanging="360"/>
      </w:pPr>
      <w:rPr>
        <w:rFonts w:ascii="Arial" w:hAnsi="Arial" w:hint="default"/>
      </w:rPr>
    </w:lvl>
    <w:lvl w:ilvl="4" w:tplc="989E6ECC" w:tentative="1">
      <w:start w:val="1"/>
      <w:numFmt w:val="bullet"/>
      <w:lvlText w:val="•"/>
      <w:lvlJc w:val="left"/>
      <w:pPr>
        <w:tabs>
          <w:tab w:val="num" w:pos="3600"/>
        </w:tabs>
        <w:ind w:left="3600" w:hanging="360"/>
      </w:pPr>
      <w:rPr>
        <w:rFonts w:ascii="Arial" w:hAnsi="Arial" w:hint="default"/>
      </w:rPr>
    </w:lvl>
    <w:lvl w:ilvl="5" w:tplc="E43C89F4" w:tentative="1">
      <w:start w:val="1"/>
      <w:numFmt w:val="bullet"/>
      <w:lvlText w:val="•"/>
      <w:lvlJc w:val="left"/>
      <w:pPr>
        <w:tabs>
          <w:tab w:val="num" w:pos="4320"/>
        </w:tabs>
        <w:ind w:left="4320" w:hanging="360"/>
      </w:pPr>
      <w:rPr>
        <w:rFonts w:ascii="Arial" w:hAnsi="Arial" w:hint="default"/>
      </w:rPr>
    </w:lvl>
    <w:lvl w:ilvl="6" w:tplc="F698E694" w:tentative="1">
      <w:start w:val="1"/>
      <w:numFmt w:val="bullet"/>
      <w:lvlText w:val="•"/>
      <w:lvlJc w:val="left"/>
      <w:pPr>
        <w:tabs>
          <w:tab w:val="num" w:pos="5040"/>
        </w:tabs>
        <w:ind w:left="5040" w:hanging="360"/>
      </w:pPr>
      <w:rPr>
        <w:rFonts w:ascii="Arial" w:hAnsi="Arial" w:hint="default"/>
      </w:rPr>
    </w:lvl>
    <w:lvl w:ilvl="7" w:tplc="7B5AB0B2" w:tentative="1">
      <w:start w:val="1"/>
      <w:numFmt w:val="bullet"/>
      <w:lvlText w:val="•"/>
      <w:lvlJc w:val="left"/>
      <w:pPr>
        <w:tabs>
          <w:tab w:val="num" w:pos="5760"/>
        </w:tabs>
        <w:ind w:left="5760" w:hanging="360"/>
      </w:pPr>
      <w:rPr>
        <w:rFonts w:ascii="Arial" w:hAnsi="Arial" w:hint="default"/>
      </w:rPr>
    </w:lvl>
    <w:lvl w:ilvl="8" w:tplc="3466906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7" w15:restartNumberingAfterBreak="0">
    <w:nsid w:val="70146DC0"/>
    <w:multiLevelType w:val="hybridMultilevel"/>
    <w:tmpl w:val="9BC21240"/>
    <w:styleLink w:val="StyleBulletedSymbolsymbolLeft025Hanging01"/>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8A17B23"/>
    <w:multiLevelType w:val="hybridMultilevel"/>
    <w:tmpl w:val="FC5E275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6"/>
  </w:num>
  <w:num w:numId="2">
    <w:abstractNumId w:val="7"/>
  </w:num>
  <w:num w:numId="3">
    <w:abstractNumId w:val="8"/>
  </w:num>
  <w:num w:numId="4">
    <w:abstractNumId w:val="3"/>
  </w:num>
  <w:num w:numId="5">
    <w:abstractNumId w:val="5"/>
  </w:num>
  <w:num w:numId="6">
    <w:abstractNumId w:val="2"/>
  </w:num>
  <w:num w:numId="7">
    <w:abstractNumId w:val="0"/>
  </w:num>
  <w:num w:numId="8">
    <w:abstractNumId w:val="1"/>
  </w:num>
  <w:num w:numId="9">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2B8"/>
    <w:rsid w:val="00001886"/>
    <w:rsid w:val="00001DC2"/>
    <w:rsid w:val="00002263"/>
    <w:rsid w:val="00002964"/>
    <w:rsid w:val="000038B6"/>
    <w:rsid w:val="00004ADC"/>
    <w:rsid w:val="00005695"/>
    <w:rsid w:val="00007440"/>
    <w:rsid w:val="00007761"/>
    <w:rsid w:val="00007CAB"/>
    <w:rsid w:val="00007EA6"/>
    <w:rsid w:val="0001163B"/>
    <w:rsid w:val="000116B3"/>
    <w:rsid w:val="00011C8D"/>
    <w:rsid w:val="00012C2F"/>
    <w:rsid w:val="00013CDB"/>
    <w:rsid w:val="00014BC5"/>
    <w:rsid w:val="000153CC"/>
    <w:rsid w:val="00015950"/>
    <w:rsid w:val="000162E9"/>
    <w:rsid w:val="00016557"/>
    <w:rsid w:val="00017492"/>
    <w:rsid w:val="00017BAE"/>
    <w:rsid w:val="00017E86"/>
    <w:rsid w:val="00021B76"/>
    <w:rsid w:val="0002219D"/>
    <w:rsid w:val="000225A8"/>
    <w:rsid w:val="000228BF"/>
    <w:rsid w:val="00022927"/>
    <w:rsid w:val="000230CB"/>
    <w:rsid w:val="00023C40"/>
    <w:rsid w:val="000245ED"/>
    <w:rsid w:val="00024958"/>
    <w:rsid w:val="00025377"/>
    <w:rsid w:val="00025423"/>
    <w:rsid w:val="00026596"/>
    <w:rsid w:val="00026BFC"/>
    <w:rsid w:val="000274CF"/>
    <w:rsid w:val="00027DC5"/>
    <w:rsid w:val="000302F2"/>
    <w:rsid w:val="00031BE8"/>
    <w:rsid w:val="00032642"/>
    <w:rsid w:val="00033397"/>
    <w:rsid w:val="00035DF0"/>
    <w:rsid w:val="000368CF"/>
    <w:rsid w:val="000375A6"/>
    <w:rsid w:val="00037861"/>
    <w:rsid w:val="00040095"/>
    <w:rsid w:val="000403D7"/>
    <w:rsid w:val="00040932"/>
    <w:rsid w:val="0004169F"/>
    <w:rsid w:val="00042C77"/>
    <w:rsid w:val="00043160"/>
    <w:rsid w:val="00043C04"/>
    <w:rsid w:val="00045515"/>
    <w:rsid w:val="0004585B"/>
    <w:rsid w:val="00046488"/>
    <w:rsid w:val="000472BC"/>
    <w:rsid w:val="00051A55"/>
    <w:rsid w:val="00051D35"/>
    <w:rsid w:val="00051DF8"/>
    <w:rsid w:val="00051F75"/>
    <w:rsid w:val="00052840"/>
    <w:rsid w:val="00053814"/>
    <w:rsid w:val="0005588D"/>
    <w:rsid w:val="000558C6"/>
    <w:rsid w:val="00055E27"/>
    <w:rsid w:val="00057AE8"/>
    <w:rsid w:val="00061D28"/>
    <w:rsid w:val="00062980"/>
    <w:rsid w:val="000633AC"/>
    <w:rsid w:val="00063A6B"/>
    <w:rsid w:val="00063B85"/>
    <w:rsid w:val="00063D1D"/>
    <w:rsid w:val="00065268"/>
    <w:rsid w:val="00065E18"/>
    <w:rsid w:val="0007062F"/>
    <w:rsid w:val="000708C4"/>
    <w:rsid w:val="00070BD9"/>
    <w:rsid w:val="00070EF1"/>
    <w:rsid w:val="00071B8C"/>
    <w:rsid w:val="00071BBD"/>
    <w:rsid w:val="00071C4F"/>
    <w:rsid w:val="00072646"/>
    <w:rsid w:val="00072850"/>
    <w:rsid w:val="00073C9C"/>
    <w:rsid w:val="0007792A"/>
    <w:rsid w:val="00080512"/>
    <w:rsid w:val="0008092F"/>
    <w:rsid w:val="000810C6"/>
    <w:rsid w:val="00081240"/>
    <w:rsid w:val="0008378E"/>
    <w:rsid w:val="00084881"/>
    <w:rsid w:val="00086E1B"/>
    <w:rsid w:val="0008758B"/>
    <w:rsid w:val="000876B5"/>
    <w:rsid w:val="000879C8"/>
    <w:rsid w:val="00090468"/>
    <w:rsid w:val="00090CD4"/>
    <w:rsid w:val="000914AC"/>
    <w:rsid w:val="00091C22"/>
    <w:rsid w:val="00092255"/>
    <w:rsid w:val="00092310"/>
    <w:rsid w:val="00092CA5"/>
    <w:rsid w:val="00093C97"/>
    <w:rsid w:val="00093FA2"/>
    <w:rsid w:val="00094568"/>
    <w:rsid w:val="00094C6B"/>
    <w:rsid w:val="00097B88"/>
    <w:rsid w:val="000A07B1"/>
    <w:rsid w:val="000A2A11"/>
    <w:rsid w:val="000A2B52"/>
    <w:rsid w:val="000A3F88"/>
    <w:rsid w:val="000A4C20"/>
    <w:rsid w:val="000A5750"/>
    <w:rsid w:val="000A58E4"/>
    <w:rsid w:val="000A603E"/>
    <w:rsid w:val="000A60C3"/>
    <w:rsid w:val="000A6B72"/>
    <w:rsid w:val="000A7150"/>
    <w:rsid w:val="000B0115"/>
    <w:rsid w:val="000B02F8"/>
    <w:rsid w:val="000B0BF3"/>
    <w:rsid w:val="000B0EF0"/>
    <w:rsid w:val="000B1245"/>
    <w:rsid w:val="000B1752"/>
    <w:rsid w:val="000B1C67"/>
    <w:rsid w:val="000B3C95"/>
    <w:rsid w:val="000B40D8"/>
    <w:rsid w:val="000B4877"/>
    <w:rsid w:val="000B61B9"/>
    <w:rsid w:val="000B6398"/>
    <w:rsid w:val="000B7BCF"/>
    <w:rsid w:val="000C0379"/>
    <w:rsid w:val="000C1413"/>
    <w:rsid w:val="000C18BA"/>
    <w:rsid w:val="000C18FE"/>
    <w:rsid w:val="000C2B2C"/>
    <w:rsid w:val="000C3867"/>
    <w:rsid w:val="000C522B"/>
    <w:rsid w:val="000C5340"/>
    <w:rsid w:val="000C6F6D"/>
    <w:rsid w:val="000D2941"/>
    <w:rsid w:val="000D2E51"/>
    <w:rsid w:val="000D3336"/>
    <w:rsid w:val="000D4B95"/>
    <w:rsid w:val="000D58AB"/>
    <w:rsid w:val="000D5B48"/>
    <w:rsid w:val="000D64F1"/>
    <w:rsid w:val="000D6E3F"/>
    <w:rsid w:val="000D6FB6"/>
    <w:rsid w:val="000D72CB"/>
    <w:rsid w:val="000D75DC"/>
    <w:rsid w:val="000E01FF"/>
    <w:rsid w:val="000E11DD"/>
    <w:rsid w:val="000E3934"/>
    <w:rsid w:val="000E4069"/>
    <w:rsid w:val="000E5108"/>
    <w:rsid w:val="000E623A"/>
    <w:rsid w:val="000F47BA"/>
    <w:rsid w:val="000F481F"/>
    <w:rsid w:val="000F526A"/>
    <w:rsid w:val="000F57DC"/>
    <w:rsid w:val="000F6A70"/>
    <w:rsid w:val="000F6CE7"/>
    <w:rsid w:val="000F7570"/>
    <w:rsid w:val="000F7A11"/>
    <w:rsid w:val="00100327"/>
    <w:rsid w:val="00100861"/>
    <w:rsid w:val="001011C1"/>
    <w:rsid w:val="0010368C"/>
    <w:rsid w:val="00105568"/>
    <w:rsid w:val="001072C0"/>
    <w:rsid w:val="00110084"/>
    <w:rsid w:val="00111CF1"/>
    <w:rsid w:val="00112F1A"/>
    <w:rsid w:val="001141A5"/>
    <w:rsid w:val="00115D0B"/>
    <w:rsid w:val="00116AF8"/>
    <w:rsid w:val="00116CDF"/>
    <w:rsid w:val="00117519"/>
    <w:rsid w:val="0012049E"/>
    <w:rsid w:val="0012130D"/>
    <w:rsid w:val="0012283E"/>
    <w:rsid w:val="0012364A"/>
    <w:rsid w:val="00123AC6"/>
    <w:rsid w:val="00124397"/>
    <w:rsid w:val="0012485A"/>
    <w:rsid w:val="00124DD4"/>
    <w:rsid w:val="001261BD"/>
    <w:rsid w:val="00126400"/>
    <w:rsid w:val="001279F7"/>
    <w:rsid w:val="00130A42"/>
    <w:rsid w:val="00131BCA"/>
    <w:rsid w:val="00132B8F"/>
    <w:rsid w:val="00133F3B"/>
    <w:rsid w:val="001340E4"/>
    <w:rsid w:val="00134E1D"/>
    <w:rsid w:val="0014223B"/>
    <w:rsid w:val="0014230B"/>
    <w:rsid w:val="001423A4"/>
    <w:rsid w:val="001430D4"/>
    <w:rsid w:val="00143363"/>
    <w:rsid w:val="001434C2"/>
    <w:rsid w:val="001436BC"/>
    <w:rsid w:val="0014396D"/>
    <w:rsid w:val="001446F4"/>
    <w:rsid w:val="00144985"/>
    <w:rsid w:val="00144B90"/>
    <w:rsid w:val="00145075"/>
    <w:rsid w:val="0014519B"/>
    <w:rsid w:val="001500B8"/>
    <w:rsid w:val="0015116D"/>
    <w:rsid w:val="00151373"/>
    <w:rsid w:val="001516BC"/>
    <w:rsid w:val="00151AB1"/>
    <w:rsid w:val="001522F2"/>
    <w:rsid w:val="00153CB5"/>
    <w:rsid w:val="00153CD2"/>
    <w:rsid w:val="0015642D"/>
    <w:rsid w:val="00156593"/>
    <w:rsid w:val="001617E5"/>
    <w:rsid w:val="00162882"/>
    <w:rsid w:val="00162E2C"/>
    <w:rsid w:val="001634F2"/>
    <w:rsid w:val="00163E02"/>
    <w:rsid w:val="0016592F"/>
    <w:rsid w:val="00165A0D"/>
    <w:rsid w:val="00166538"/>
    <w:rsid w:val="00166728"/>
    <w:rsid w:val="00166BB8"/>
    <w:rsid w:val="00166CE4"/>
    <w:rsid w:val="00171DA1"/>
    <w:rsid w:val="001720FC"/>
    <w:rsid w:val="001741A0"/>
    <w:rsid w:val="00174291"/>
    <w:rsid w:val="00175FA0"/>
    <w:rsid w:val="0017699F"/>
    <w:rsid w:val="00177601"/>
    <w:rsid w:val="00177A3C"/>
    <w:rsid w:val="00180692"/>
    <w:rsid w:val="00181375"/>
    <w:rsid w:val="00182C72"/>
    <w:rsid w:val="00182E67"/>
    <w:rsid w:val="00183778"/>
    <w:rsid w:val="00183F0F"/>
    <w:rsid w:val="001841BF"/>
    <w:rsid w:val="00184410"/>
    <w:rsid w:val="00184D59"/>
    <w:rsid w:val="0018515E"/>
    <w:rsid w:val="00185BC1"/>
    <w:rsid w:val="00186138"/>
    <w:rsid w:val="00186370"/>
    <w:rsid w:val="0018680E"/>
    <w:rsid w:val="00190972"/>
    <w:rsid w:val="0019158C"/>
    <w:rsid w:val="001921CE"/>
    <w:rsid w:val="00192CC5"/>
    <w:rsid w:val="00194515"/>
    <w:rsid w:val="001945F6"/>
    <w:rsid w:val="00194CD0"/>
    <w:rsid w:val="0019500E"/>
    <w:rsid w:val="00195BE8"/>
    <w:rsid w:val="001962AF"/>
    <w:rsid w:val="00196D94"/>
    <w:rsid w:val="00197FFC"/>
    <w:rsid w:val="001A498C"/>
    <w:rsid w:val="001A4C75"/>
    <w:rsid w:val="001A543A"/>
    <w:rsid w:val="001A57B2"/>
    <w:rsid w:val="001A5961"/>
    <w:rsid w:val="001A7013"/>
    <w:rsid w:val="001A7BA1"/>
    <w:rsid w:val="001B0E6A"/>
    <w:rsid w:val="001B11D6"/>
    <w:rsid w:val="001B1E91"/>
    <w:rsid w:val="001B1FA7"/>
    <w:rsid w:val="001B3311"/>
    <w:rsid w:val="001B349E"/>
    <w:rsid w:val="001B49C9"/>
    <w:rsid w:val="001C0FE8"/>
    <w:rsid w:val="001C1364"/>
    <w:rsid w:val="001C23F4"/>
    <w:rsid w:val="001C3543"/>
    <w:rsid w:val="001C4AC4"/>
    <w:rsid w:val="001C4CEA"/>
    <w:rsid w:val="001C4F79"/>
    <w:rsid w:val="001C77C4"/>
    <w:rsid w:val="001D090E"/>
    <w:rsid w:val="001D0C63"/>
    <w:rsid w:val="001D1DAA"/>
    <w:rsid w:val="001D21D6"/>
    <w:rsid w:val="001D347B"/>
    <w:rsid w:val="001D40B6"/>
    <w:rsid w:val="001D6647"/>
    <w:rsid w:val="001E0518"/>
    <w:rsid w:val="001E103B"/>
    <w:rsid w:val="001E3033"/>
    <w:rsid w:val="001E3379"/>
    <w:rsid w:val="001E33AD"/>
    <w:rsid w:val="001E3A80"/>
    <w:rsid w:val="001E5E26"/>
    <w:rsid w:val="001F168B"/>
    <w:rsid w:val="001F5363"/>
    <w:rsid w:val="001F63C9"/>
    <w:rsid w:val="001F7188"/>
    <w:rsid w:val="001F7519"/>
    <w:rsid w:val="001F7831"/>
    <w:rsid w:val="00200C36"/>
    <w:rsid w:val="00204045"/>
    <w:rsid w:val="002046EF"/>
    <w:rsid w:val="002050AC"/>
    <w:rsid w:val="0020712B"/>
    <w:rsid w:val="00207576"/>
    <w:rsid w:val="00210CA7"/>
    <w:rsid w:val="00211D36"/>
    <w:rsid w:val="0021231D"/>
    <w:rsid w:val="00212942"/>
    <w:rsid w:val="00212F1F"/>
    <w:rsid w:val="00213563"/>
    <w:rsid w:val="00214804"/>
    <w:rsid w:val="00214B18"/>
    <w:rsid w:val="00216876"/>
    <w:rsid w:val="002171B2"/>
    <w:rsid w:val="00217633"/>
    <w:rsid w:val="00220815"/>
    <w:rsid w:val="0022159B"/>
    <w:rsid w:val="002219AC"/>
    <w:rsid w:val="002237CF"/>
    <w:rsid w:val="00223B9F"/>
    <w:rsid w:val="00223FCA"/>
    <w:rsid w:val="00224AAB"/>
    <w:rsid w:val="00224C8F"/>
    <w:rsid w:val="0022606D"/>
    <w:rsid w:val="002264D3"/>
    <w:rsid w:val="00226A01"/>
    <w:rsid w:val="0022757C"/>
    <w:rsid w:val="002277C7"/>
    <w:rsid w:val="00227B1B"/>
    <w:rsid w:val="00230A77"/>
    <w:rsid w:val="00230FE8"/>
    <w:rsid w:val="00231728"/>
    <w:rsid w:val="00231AEC"/>
    <w:rsid w:val="00234C99"/>
    <w:rsid w:val="0023661D"/>
    <w:rsid w:val="002370F8"/>
    <w:rsid w:val="00237D4A"/>
    <w:rsid w:val="00240552"/>
    <w:rsid w:val="00240B71"/>
    <w:rsid w:val="00240F43"/>
    <w:rsid w:val="0024324A"/>
    <w:rsid w:val="00243DE1"/>
    <w:rsid w:val="00244A05"/>
    <w:rsid w:val="002455B8"/>
    <w:rsid w:val="00246CAB"/>
    <w:rsid w:val="00247550"/>
    <w:rsid w:val="00250404"/>
    <w:rsid w:val="002504A5"/>
    <w:rsid w:val="002508F7"/>
    <w:rsid w:val="00252AC3"/>
    <w:rsid w:val="00253CAD"/>
    <w:rsid w:val="002548B1"/>
    <w:rsid w:val="0025613A"/>
    <w:rsid w:val="00256F27"/>
    <w:rsid w:val="002579BF"/>
    <w:rsid w:val="00257DE6"/>
    <w:rsid w:val="002607E8"/>
    <w:rsid w:val="00260EC0"/>
    <w:rsid w:val="002610D8"/>
    <w:rsid w:val="0026126B"/>
    <w:rsid w:val="00261EDB"/>
    <w:rsid w:val="00264734"/>
    <w:rsid w:val="0026513E"/>
    <w:rsid w:val="00266AF5"/>
    <w:rsid w:val="002675D3"/>
    <w:rsid w:val="002709D8"/>
    <w:rsid w:val="00270A2B"/>
    <w:rsid w:val="002710E4"/>
    <w:rsid w:val="00271A19"/>
    <w:rsid w:val="002747EC"/>
    <w:rsid w:val="00276A2E"/>
    <w:rsid w:val="00276B89"/>
    <w:rsid w:val="002813A7"/>
    <w:rsid w:val="002815C0"/>
    <w:rsid w:val="00282115"/>
    <w:rsid w:val="0028322D"/>
    <w:rsid w:val="0028384B"/>
    <w:rsid w:val="002840C7"/>
    <w:rsid w:val="00284E78"/>
    <w:rsid w:val="002855BF"/>
    <w:rsid w:val="0028710E"/>
    <w:rsid w:val="00287326"/>
    <w:rsid w:val="002874E7"/>
    <w:rsid w:val="00290336"/>
    <w:rsid w:val="00292FC9"/>
    <w:rsid w:val="002945AD"/>
    <w:rsid w:val="00294CF3"/>
    <w:rsid w:val="00296A41"/>
    <w:rsid w:val="002A0C96"/>
    <w:rsid w:val="002A1F64"/>
    <w:rsid w:val="002A21BD"/>
    <w:rsid w:val="002A22CA"/>
    <w:rsid w:val="002A24EC"/>
    <w:rsid w:val="002A3017"/>
    <w:rsid w:val="002A32C4"/>
    <w:rsid w:val="002A3860"/>
    <w:rsid w:val="002A47CF"/>
    <w:rsid w:val="002A5614"/>
    <w:rsid w:val="002A629B"/>
    <w:rsid w:val="002A7486"/>
    <w:rsid w:val="002A7C84"/>
    <w:rsid w:val="002A7FDD"/>
    <w:rsid w:val="002B0F64"/>
    <w:rsid w:val="002B1D88"/>
    <w:rsid w:val="002B2AFB"/>
    <w:rsid w:val="002B2B38"/>
    <w:rsid w:val="002B3354"/>
    <w:rsid w:val="002B3F8E"/>
    <w:rsid w:val="002B44B8"/>
    <w:rsid w:val="002B49FD"/>
    <w:rsid w:val="002B6746"/>
    <w:rsid w:val="002B679D"/>
    <w:rsid w:val="002B7147"/>
    <w:rsid w:val="002B7736"/>
    <w:rsid w:val="002C329A"/>
    <w:rsid w:val="002C4BF2"/>
    <w:rsid w:val="002C5580"/>
    <w:rsid w:val="002C591F"/>
    <w:rsid w:val="002C6052"/>
    <w:rsid w:val="002C69AA"/>
    <w:rsid w:val="002C7808"/>
    <w:rsid w:val="002C7B26"/>
    <w:rsid w:val="002D032A"/>
    <w:rsid w:val="002D093F"/>
    <w:rsid w:val="002D2B20"/>
    <w:rsid w:val="002D2C29"/>
    <w:rsid w:val="002D2CA2"/>
    <w:rsid w:val="002D4A25"/>
    <w:rsid w:val="002D5213"/>
    <w:rsid w:val="002D657A"/>
    <w:rsid w:val="002D7BD3"/>
    <w:rsid w:val="002E058A"/>
    <w:rsid w:val="002E1C8B"/>
    <w:rsid w:val="002E29AB"/>
    <w:rsid w:val="002E61C8"/>
    <w:rsid w:val="002E699A"/>
    <w:rsid w:val="002E79BB"/>
    <w:rsid w:val="002F0D22"/>
    <w:rsid w:val="002F0DF4"/>
    <w:rsid w:val="002F12A5"/>
    <w:rsid w:val="002F1345"/>
    <w:rsid w:val="002F2220"/>
    <w:rsid w:val="002F323C"/>
    <w:rsid w:val="002F5301"/>
    <w:rsid w:val="002F5D76"/>
    <w:rsid w:val="002F732B"/>
    <w:rsid w:val="002F77A0"/>
    <w:rsid w:val="002F786F"/>
    <w:rsid w:val="003010D5"/>
    <w:rsid w:val="00301850"/>
    <w:rsid w:val="003021CE"/>
    <w:rsid w:val="003026A7"/>
    <w:rsid w:val="0030291F"/>
    <w:rsid w:val="00302A50"/>
    <w:rsid w:val="00303427"/>
    <w:rsid w:val="00305D01"/>
    <w:rsid w:val="00305DAA"/>
    <w:rsid w:val="00306241"/>
    <w:rsid w:val="00306F15"/>
    <w:rsid w:val="003073B9"/>
    <w:rsid w:val="00307CD6"/>
    <w:rsid w:val="00310541"/>
    <w:rsid w:val="0031064D"/>
    <w:rsid w:val="00310D9A"/>
    <w:rsid w:val="00311B17"/>
    <w:rsid w:val="00311EB3"/>
    <w:rsid w:val="00312375"/>
    <w:rsid w:val="00313299"/>
    <w:rsid w:val="003133F1"/>
    <w:rsid w:val="0031390F"/>
    <w:rsid w:val="00313E0F"/>
    <w:rsid w:val="00314AA6"/>
    <w:rsid w:val="00316225"/>
    <w:rsid w:val="00316240"/>
    <w:rsid w:val="003164AA"/>
    <w:rsid w:val="003172DC"/>
    <w:rsid w:val="0032086B"/>
    <w:rsid w:val="00321D21"/>
    <w:rsid w:val="00323CB7"/>
    <w:rsid w:val="00323D2C"/>
    <w:rsid w:val="00323F74"/>
    <w:rsid w:val="003243BA"/>
    <w:rsid w:val="00324E66"/>
    <w:rsid w:val="003255FD"/>
    <w:rsid w:val="00325AE3"/>
    <w:rsid w:val="00326069"/>
    <w:rsid w:val="00327682"/>
    <w:rsid w:val="00327E5D"/>
    <w:rsid w:val="00330C9F"/>
    <w:rsid w:val="00332223"/>
    <w:rsid w:val="00332B7D"/>
    <w:rsid w:val="00333345"/>
    <w:rsid w:val="00335468"/>
    <w:rsid w:val="00335A5E"/>
    <w:rsid w:val="003378B4"/>
    <w:rsid w:val="00337C3B"/>
    <w:rsid w:val="003407BE"/>
    <w:rsid w:val="00340C0B"/>
    <w:rsid w:val="0034315A"/>
    <w:rsid w:val="00343806"/>
    <w:rsid w:val="00343819"/>
    <w:rsid w:val="0034538B"/>
    <w:rsid w:val="003466A7"/>
    <w:rsid w:val="00347B20"/>
    <w:rsid w:val="00350D7C"/>
    <w:rsid w:val="00351CAD"/>
    <w:rsid w:val="00352BBF"/>
    <w:rsid w:val="00353629"/>
    <w:rsid w:val="0035462D"/>
    <w:rsid w:val="00357118"/>
    <w:rsid w:val="00357272"/>
    <w:rsid w:val="003574BB"/>
    <w:rsid w:val="00361D54"/>
    <w:rsid w:val="00362003"/>
    <w:rsid w:val="00363509"/>
    <w:rsid w:val="00363968"/>
    <w:rsid w:val="00364152"/>
    <w:rsid w:val="0036459E"/>
    <w:rsid w:val="00364B41"/>
    <w:rsid w:val="003667FF"/>
    <w:rsid w:val="00366E8E"/>
    <w:rsid w:val="003676CB"/>
    <w:rsid w:val="00367A75"/>
    <w:rsid w:val="00370056"/>
    <w:rsid w:val="00370943"/>
    <w:rsid w:val="00370B5A"/>
    <w:rsid w:val="003724CA"/>
    <w:rsid w:val="003733E4"/>
    <w:rsid w:val="00376209"/>
    <w:rsid w:val="0037693C"/>
    <w:rsid w:val="00377ACC"/>
    <w:rsid w:val="00377F37"/>
    <w:rsid w:val="00380E40"/>
    <w:rsid w:val="00381708"/>
    <w:rsid w:val="003824C2"/>
    <w:rsid w:val="00382C4D"/>
    <w:rsid w:val="00383096"/>
    <w:rsid w:val="00384561"/>
    <w:rsid w:val="00384AA6"/>
    <w:rsid w:val="00385E77"/>
    <w:rsid w:val="00386130"/>
    <w:rsid w:val="003869A5"/>
    <w:rsid w:val="00387011"/>
    <w:rsid w:val="00387B0B"/>
    <w:rsid w:val="00387CB1"/>
    <w:rsid w:val="003900B0"/>
    <w:rsid w:val="00390239"/>
    <w:rsid w:val="003909CB"/>
    <w:rsid w:val="00390D6B"/>
    <w:rsid w:val="00391EE4"/>
    <w:rsid w:val="0039263F"/>
    <w:rsid w:val="0039346C"/>
    <w:rsid w:val="003943BF"/>
    <w:rsid w:val="00394C6C"/>
    <w:rsid w:val="00395772"/>
    <w:rsid w:val="003957A6"/>
    <w:rsid w:val="00395AEF"/>
    <w:rsid w:val="00395D18"/>
    <w:rsid w:val="00397197"/>
    <w:rsid w:val="003972FF"/>
    <w:rsid w:val="0039744D"/>
    <w:rsid w:val="003A049C"/>
    <w:rsid w:val="003A133F"/>
    <w:rsid w:val="003A1D3E"/>
    <w:rsid w:val="003A2082"/>
    <w:rsid w:val="003A229C"/>
    <w:rsid w:val="003A34E4"/>
    <w:rsid w:val="003A41EF"/>
    <w:rsid w:val="003A527F"/>
    <w:rsid w:val="003A565C"/>
    <w:rsid w:val="003A5AD0"/>
    <w:rsid w:val="003A619C"/>
    <w:rsid w:val="003A78FD"/>
    <w:rsid w:val="003A7B3D"/>
    <w:rsid w:val="003B0769"/>
    <w:rsid w:val="003B2EAB"/>
    <w:rsid w:val="003B30A9"/>
    <w:rsid w:val="003B3806"/>
    <w:rsid w:val="003B40AD"/>
    <w:rsid w:val="003B4F56"/>
    <w:rsid w:val="003B5083"/>
    <w:rsid w:val="003B6290"/>
    <w:rsid w:val="003B73F6"/>
    <w:rsid w:val="003B79E3"/>
    <w:rsid w:val="003C1A2A"/>
    <w:rsid w:val="003C1CE5"/>
    <w:rsid w:val="003C237F"/>
    <w:rsid w:val="003C291C"/>
    <w:rsid w:val="003C311A"/>
    <w:rsid w:val="003C3D57"/>
    <w:rsid w:val="003C4E37"/>
    <w:rsid w:val="003C5533"/>
    <w:rsid w:val="003C5DF8"/>
    <w:rsid w:val="003D127F"/>
    <w:rsid w:val="003D30B0"/>
    <w:rsid w:val="003D3149"/>
    <w:rsid w:val="003D3519"/>
    <w:rsid w:val="003D3F78"/>
    <w:rsid w:val="003D4028"/>
    <w:rsid w:val="003D4B16"/>
    <w:rsid w:val="003D4E3E"/>
    <w:rsid w:val="003D603A"/>
    <w:rsid w:val="003D6B94"/>
    <w:rsid w:val="003E01A2"/>
    <w:rsid w:val="003E0461"/>
    <w:rsid w:val="003E0C9D"/>
    <w:rsid w:val="003E141C"/>
    <w:rsid w:val="003E16BE"/>
    <w:rsid w:val="003E17A4"/>
    <w:rsid w:val="003E2482"/>
    <w:rsid w:val="003E3CDE"/>
    <w:rsid w:val="003E3F31"/>
    <w:rsid w:val="003E5013"/>
    <w:rsid w:val="003E5F93"/>
    <w:rsid w:val="003E676B"/>
    <w:rsid w:val="003E77F9"/>
    <w:rsid w:val="003F0729"/>
    <w:rsid w:val="003F11FC"/>
    <w:rsid w:val="003F16BA"/>
    <w:rsid w:val="003F24B6"/>
    <w:rsid w:val="003F2683"/>
    <w:rsid w:val="003F2920"/>
    <w:rsid w:val="003F3214"/>
    <w:rsid w:val="003F3652"/>
    <w:rsid w:val="003F479C"/>
    <w:rsid w:val="003F4E28"/>
    <w:rsid w:val="003F5ECC"/>
    <w:rsid w:val="003F679F"/>
    <w:rsid w:val="003F72DA"/>
    <w:rsid w:val="004006E8"/>
    <w:rsid w:val="004007A7"/>
    <w:rsid w:val="0040087F"/>
    <w:rsid w:val="00400C63"/>
    <w:rsid w:val="00401855"/>
    <w:rsid w:val="00401ECB"/>
    <w:rsid w:val="004020DB"/>
    <w:rsid w:val="0040228D"/>
    <w:rsid w:val="0040325A"/>
    <w:rsid w:val="0040378B"/>
    <w:rsid w:val="0040499C"/>
    <w:rsid w:val="00404D34"/>
    <w:rsid w:val="00405A25"/>
    <w:rsid w:val="0040702D"/>
    <w:rsid w:val="00410B87"/>
    <w:rsid w:val="00412625"/>
    <w:rsid w:val="00412DA7"/>
    <w:rsid w:val="004131CA"/>
    <w:rsid w:val="00413F2F"/>
    <w:rsid w:val="00414017"/>
    <w:rsid w:val="00415C3B"/>
    <w:rsid w:val="0041753E"/>
    <w:rsid w:val="00420317"/>
    <w:rsid w:val="00420958"/>
    <w:rsid w:val="00420E2C"/>
    <w:rsid w:val="00422F1E"/>
    <w:rsid w:val="00423260"/>
    <w:rsid w:val="004234E3"/>
    <w:rsid w:val="004235E8"/>
    <w:rsid w:val="00423B13"/>
    <w:rsid w:val="00424DE6"/>
    <w:rsid w:val="00426BF2"/>
    <w:rsid w:val="00427B7D"/>
    <w:rsid w:val="00427D3B"/>
    <w:rsid w:val="00430840"/>
    <w:rsid w:val="0043135F"/>
    <w:rsid w:val="004322B3"/>
    <w:rsid w:val="00432BC9"/>
    <w:rsid w:val="00432BCA"/>
    <w:rsid w:val="00432BE2"/>
    <w:rsid w:val="004360EB"/>
    <w:rsid w:val="00436347"/>
    <w:rsid w:val="00436BB8"/>
    <w:rsid w:val="00441D2F"/>
    <w:rsid w:val="00441FD9"/>
    <w:rsid w:val="004433CF"/>
    <w:rsid w:val="00443D0D"/>
    <w:rsid w:val="0044406B"/>
    <w:rsid w:val="0044738E"/>
    <w:rsid w:val="00450CDD"/>
    <w:rsid w:val="004514F4"/>
    <w:rsid w:val="00451660"/>
    <w:rsid w:val="00452280"/>
    <w:rsid w:val="004525BA"/>
    <w:rsid w:val="004545AD"/>
    <w:rsid w:val="00454A52"/>
    <w:rsid w:val="00454E59"/>
    <w:rsid w:val="004559A6"/>
    <w:rsid w:val="0046012F"/>
    <w:rsid w:val="00460A99"/>
    <w:rsid w:val="00461101"/>
    <w:rsid w:val="00463913"/>
    <w:rsid w:val="00463D4C"/>
    <w:rsid w:val="00465587"/>
    <w:rsid w:val="004657C7"/>
    <w:rsid w:val="00465BEC"/>
    <w:rsid w:val="00465C07"/>
    <w:rsid w:val="004669A6"/>
    <w:rsid w:val="0046720C"/>
    <w:rsid w:val="0047086C"/>
    <w:rsid w:val="00471E00"/>
    <w:rsid w:val="00473A6E"/>
    <w:rsid w:val="0047610A"/>
    <w:rsid w:val="00476C27"/>
    <w:rsid w:val="00476EFE"/>
    <w:rsid w:val="0047702F"/>
    <w:rsid w:val="00477455"/>
    <w:rsid w:val="004779FB"/>
    <w:rsid w:val="00480C20"/>
    <w:rsid w:val="0048284D"/>
    <w:rsid w:val="0048554F"/>
    <w:rsid w:val="00487060"/>
    <w:rsid w:val="004875F7"/>
    <w:rsid w:val="004901A6"/>
    <w:rsid w:val="00490325"/>
    <w:rsid w:val="004905F3"/>
    <w:rsid w:val="00490C92"/>
    <w:rsid w:val="00491923"/>
    <w:rsid w:val="00491F9E"/>
    <w:rsid w:val="004937F8"/>
    <w:rsid w:val="0049389E"/>
    <w:rsid w:val="00493A0E"/>
    <w:rsid w:val="00493FF0"/>
    <w:rsid w:val="00495DDB"/>
    <w:rsid w:val="004A10EE"/>
    <w:rsid w:val="004A1F7B"/>
    <w:rsid w:val="004A2470"/>
    <w:rsid w:val="004A3412"/>
    <w:rsid w:val="004A34E6"/>
    <w:rsid w:val="004A40FB"/>
    <w:rsid w:val="004A5B0B"/>
    <w:rsid w:val="004A6E33"/>
    <w:rsid w:val="004A7B6C"/>
    <w:rsid w:val="004A7E88"/>
    <w:rsid w:val="004B0758"/>
    <w:rsid w:val="004B1812"/>
    <w:rsid w:val="004B1830"/>
    <w:rsid w:val="004B18E1"/>
    <w:rsid w:val="004B23E1"/>
    <w:rsid w:val="004B2692"/>
    <w:rsid w:val="004B2751"/>
    <w:rsid w:val="004B32EB"/>
    <w:rsid w:val="004B3B88"/>
    <w:rsid w:val="004B4C62"/>
    <w:rsid w:val="004B579D"/>
    <w:rsid w:val="004B716D"/>
    <w:rsid w:val="004B77BE"/>
    <w:rsid w:val="004C0232"/>
    <w:rsid w:val="004C0C6E"/>
    <w:rsid w:val="004C14B0"/>
    <w:rsid w:val="004C18F5"/>
    <w:rsid w:val="004C25E8"/>
    <w:rsid w:val="004C2D5E"/>
    <w:rsid w:val="004C2EC3"/>
    <w:rsid w:val="004C3DCD"/>
    <w:rsid w:val="004C44D2"/>
    <w:rsid w:val="004C4C56"/>
    <w:rsid w:val="004D0C51"/>
    <w:rsid w:val="004D12EF"/>
    <w:rsid w:val="004D21BF"/>
    <w:rsid w:val="004D3578"/>
    <w:rsid w:val="004D380D"/>
    <w:rsid w:val="004D4335"/>
    <w:rsid w:val="004D5787"/>
    <w:rsid w:val="004D6C16"/>
    <w:rsid w:val="004D6FD4"/>
    <w:rsid w:val="004D7B60"/>
    <w:rsid w:val="004E213A"/>
    <w:rsid w:val="004E2D0B"/>
    <w:rsid w:val="004E31E3"/>
    <w:rsid w:val="004E4E09"/>
    <w:rsid w:val="004E5943"/>
    <w:rsid w:val="004E5BB6"/>
    <w:rsid w:val="004E62A1"/>
    <w:rsid w:val="004F10E9"/>
    <w:rsid w:val="004F1757"/>
    <w:rsid w:val="004F3ADA"/>
    <w:rsid w:val="004F4540"/>
    <w:rsid w:val="004F4736"/>
    <w:rsid w:val="004F5BB2"/>
    <w:rsid w:val="004F6548"/>
    <w:rsid w:val="004F73A7"/>
    <w:rsid w:val="004F7C51"/>
    <w:rsid w:val="005001FE"/>
    <w:rsid w:val="00501C2E"/>
    <w:rsid w:val="00501D49"/>
    <w:rsid w:val="00502370"/>
    <w:rsid w:val="00502522"/>
    <w:rsid w:val="00503171"/>
    <w:rsid w:val="0050351B"/>
    <w:rsid w:val="005038C3"/>
    <w:rsid w:val="00503947"/>
    <w:rsid w:val="005039BC"/>
    <w:rsid w:val="00503B64"/>
    <w:rsid w:val="00503CB5"/>
    <w:rsid w:val="00506C28"/>
    <w:rsid w:val="005075B6"/>
    <w:rsid w:val="00510BE0"/>
    <w:rsid w:val="005115D5"/>
    <w:rsid w:val="00512361"/>
    <w:rsid w:val="005140A7"/>
    <w:rsid w:val="005148DB"/>
    <w:rsid w:val="00514E8B"/>
    <w:rsid w:val="00516A0D"/>
    <w:rsid w:val="00516C28"/>
    <w:rsid w:val="00516FBC"/>
    <w:rsid w:val="00517034"/>
    <w:rsid w:val="00520010"/>
    <w:rsid w:val="0052024D"/>
    <w:rsid w:val="005214BC"/>
    <w:rsid w:val="00521DFD"/>
    <w:rsid w:val="00522F36"/>
    <w:rsid w:val="005244D9"/>
    <w:rsid w:val="00524EEF"/>
    <w:rsid w:val="00527C31"/>
    <w:rsid w:val="00527F2A"/>
    <w:rsid w:val="0053081A"/>
    <w:rsid w:val="005333BC"/>
    <w:rsid w:val="00534DA0"/>
    <w:rsid w:val="00535584"/>
    <w:rsid w:val="00535D39"/>
    <w:rsid w:val="00535EC5"/>
    <w:rsid w:val="00536A0E"/>
    <w:rsid w:val="00536B09"/>
    <w:rsid w:val="00542000"/>
    <w:rsid w:val="00543E6C"/>
    <w:rsid w:val="00546C79"/>
    <w:rsid w:val="00547211"/>
    <w:rsid w:val="00547A10"/>
    <w:rsid w:val="005507E7"/>
    <w:rsid w:val="00551763"/>
    <w:rsid w:val="00552779"/>
    <w:rsid w:val="00553988"/>
    <w:rsid w:val="0055422F"/>
    <w:rsid w:val="00556125"/>
    <w:rsid w:val="00557006"/>
    <w:rsid w:val="00557329"/>
    <w:rsid w:val="00557338"/>
    <w:rsid w:val="00557CE5"/>
    <w:rsid w:val="00557FEC"/>
    <w:rsid w:val="00561FAA"/>
    <w:rsid w:val="005625DD"/>
    <w:rsid w:val="00563BA5"/>
    <w:rsid w:val="005642A1"/>
    <w:rsid w:val="00564CC6"/>
    <w:rsid w:val="00565087"/>
    <w:rsid w:val="00565367"/>
    <w:rsid w:val="0056554B"/>
    <w:rsid w:val="0056573F"/>
    <w:rsid w:val="00566468"/>
    <w:rsid w:val="0056656C"/>
    <w:rsid w:val="00570B29"/>
    <w:rsid w:val="00571279"/>
    <w:rsid w:val="00572564"/>
    <w:rsid w:val="005728A1"/>
    <w:rsid w:val="00573454"/>
    <w:rsid w:val="005739BD"/>
    <w:rsid w:val="00573F61"/>
    <w:rsid w:val="005740F6"/>
    <w:rsid w:val="00574618"/>
    <w:rsid w:val="00574E76"/>
    <w:rsid w:val="00575070"/>
    <w:rsid w:val="005752D5"/>
    <w:rsid w:val="0057598B"/>
    <w:rsid w:val="00575A1A"/>
    <w:rsid w:val="0057783A"/>
    <w:rsid w:val="0058077E"/>
    <w:rsid w:val="00583007"/>
    <w:rsid w:val="00583DC1"/>
    <w:rsid w:val="00584044"/>
    <w:rsid w:val="00584142"/>
    <w:rsid w:val="0058460B"/>
    <w:rsid w:val="00585775"/>
    <w:rsid w:val="00591A40"/>
    <w:rsid w:val="00591E74"/>
    <w:rsid w:val="00592936"/>
    <w:rsid w:val="0059328F"/>
    <w:rsid w:val="00593C4B"/>
    <w:rsid w:val="0059433B"/>
    <w:rsid w:val="00594B6F"/>
    <w:rsid w:val="005957E1"/>
    <w:rsid w:val="00595AAB"/>
    <w:rsid w:val="00595F74"/>
    <w:rsid w:val="00596097"/>
    <w:rsid w:val="00596B5D"/>
    <w:rsid w:val="005970C3"/>
    <w:rsid w:val="00597F49"/>
    <w:rsid w:val="005A3A7E"/>
    <w:rsid w:val="005A49C6"/>
    <w:rsid w:val="005A4D6D"/>
    <w:rsid w:val="005A68D5"/>
    <w:rsid w:val="005A6CA2"/>
    <w:rsid w:val="005A7020"/>
    <w:rsid w:val="005A7602"/>
    <w:rsid w:val="005B214A"/>
    <w:rsid w:val="005B25E1"/>
    <w:rsid w:val="005B2B04"/>
    <w:rsid w:val="005B358C"/>
    <w:rsid w:val="005B3ECF"/>
    <w:rsid w:val="005B5565"/>
    <w:rsid w:val="005B598B"/>
    <w:rsid w:val="005B760B"/>
    <w:rsid w:val="005C007C"/>
    <w:rsid w:val="005C0359"/>
    <w:rsid w:val="005C1A18"/>
    <w:rsid w:val="005C1F7C"/>
    <w:rsid w:val="005C2F10"/>
    <w:rsid w:val="005C3919"/>
    <w:rsid w:val="005C4665"/>
    <w:rsid w:val="005C4CEF"/>
    <w:rsid w:val="005C4F3E"/>
    <w:rsid w:val="005C5A2F"/>
    <w:rsid w:val="005C5E13"/>
    <w:rsid w:val="005C5F6B"/>
    <w:rsid w:val="005C63DA"/>
    <w:rsid w:val="005C64F2"/>
    <w:rsid w:val="005C6D5D"/>
    <w:rsid w:val="005C78A8"/>
    <w:rsid w:val="005D1091"/>
    <w:rsid w:val="005D2171"/>
    <w:rsid w:val="005D2DDA"/>
    <w:rsid w:val="005D2ED5"/>
    <w:rsid w:val="005D38C4"/>
    <w:rsid w:val="005D4207"/>
    <w:rsid w:val="005D4B8A"/>
    <w:rsid w:val="005D6E49"/>
    <w:rsid w:val="005D725F"/>
    <w:rsid w:val="005E0AED"/>
    <w:rsid w:val="005E1600"/>
    <w:rsid w:val="005E28FB"/>
    <w:rsid w:val="005E47B2"/>
    <w:rsid w:val="005E4F98"/>
    <w:rsid w:val="005E57EA"/>
    <w:rsid w:val="005E59E2"/>
    <w:rsid w:val="005E5A63"/>
    <w:rsid w:val="005E6831"/>
    <w:rsid w:val="005F065C"/>
    <w:rsid w:val="005F0D6D"/>
    <w:rsid w:val="005F191C"/>
    <w:rsid w:val="005F27D5"/>
    <w:rsid w:val="005F4A28"/>
    <w:rsid w:val="005F4AFD"/>
    <w:rsid w:val="005F5609"/>
    <w:rsid w:val="005F56A2"/>
    <w:rsid w:val="005F5718"/>
    <w:rsid w:val="005F6D35"/>
    <w:rsid w:val="0060041B"/>
    <w:rsid w:val="0060107D"/>
    <w:rsid w:val="00601DED"/>
    <w:rsid w:val="00602F40"/>
    <w:rsid w:val="00603B63"/>
    <w:rsid w:val="00603D62"/>
    <w:rsid w:val="00604294"/>
    <w:rsid w:val="006048A8"/>
    <w:rsid w:val="00604D20"/>
    <w:rsid w:val="0060686C"/>
    <w:rsid w:val="00606D98"/>
    <w:rsid w:val="00606E38"/>
    <w:rsid w:val="0061000C"/>
    <w:rsid w:val="006106D9"/>
    <w:rsid w:val="00610FFB"/>
    <w:rsid w:val="00611566"/>
    <w:rsid w:val="00611868"/>
    <w:rsid w:val="0061201C"/>
    <w:rsid w:val="00613366"/>
    <w:rsid w:val="006143DD"/>
    <w:rsid w:val="00614458"/>
    <w:rsid w:val="006146AB"/>
    <w:rsid w:val="006150D4"/>
    <w:rsid w:val="006160D7"/>
    <w:rsid w:val="0061657E"/>
    <w:rsid w:val="00616C1A"/>
    <w:rsid w:val="00617243"/>
    <w:rsid w:val="006202CB"/>
    <w:rsid w:val="006206E3"/>
    <w:rsid w:val="00620AD6"/>
    <w:rsid w:val="00621867"/>
    <w:rsid w:val="00622275"/>
    <w:rsid w:val="00622FDA"/>
    <w:rsid w:val="006231E2"/>
    <w:rsid w:val="00623B6F"/>
    <w:rsid w:val="00623EE9"/>
    <w:rsid w:val="0062410C"/>
    <w:rsid w:val="00624930"/>
    <w:rsid w:val="00624C07"/>
    <w:rsid w:val="0062582C"/>
    <w:rsid w:val="00625977"/>
    <w:rsid w:val="0062599C"/>
    <w:rsid w:val="00625B0A"/>
    <w:rsid w:val="00626AEC"/>
    <w:rsid w:val="006307C2"/>
    <w:rsid w:val="00631E13"/>
    <w:rsid w:val="00631F4C"/>
    <w:rsid w:val="00632396"/>
    <w:rsid w:val="00632557"/>
    <w:rsid w:val="00633ED2"/>
    <w:rsid w:val="006349F9"/>
    <w:rsid w:val="00635845"/>
    <w:rsid w:val="00636AD8"/>
    <w:rsid w:val="0064019F"/>
    <w:rsid w:val="00640307"/>
    <w:rsid w:val="0064060B"/>
    <w:rsid w:val="006428DB"/>
    <w:rsid w:val="00642E77"/>
    <w:rsid w:val="0064309A"/>
    <w:rsid w:val="00646D99"/>
    <w:rsid w:val="006504D6"/>
    <w:rsid w:val="006510E9"/>
    <w:rsid w:val="006519F2"/>
    <w:rsid w:val="0065225C"/>
    <w:rsid w:val="00652B9E"/>
    <w:rsid w:val="00653358"/>
    <w:rsid w:val="006541A1"/>
    <w:rsid w:val="00654596"/>
    <w:rsid w:val="00655D08"/>
    <w:rsid w:val="00656910"/>
    <w:rsid w:val="00656E05"/>
    <w:rsid w:val="006574C0"/>
    <w:rsid w:val="00657CA6"/>
    <w:rsid w:val="0066096B"/>
    <w:rsid w:val="006627AE"/>
    <w:rsid w:val="00662DCD"/>
    <w:rsid w:val="00666621"/>
    <w:rsid w:val="00670C14"/>
    <w:rsid w:val="00671D08"/>
    <w:rsid w:val="00672522"/>
    <w:rsid w:val="00674D79"/>
    <w:rsid w:val="00675F0F"/>
    <w:rsid w:val="0067758B"/>
    <w:rsid w:val="0067783E"/>
    <w:rsid w:val="00677B91"/>
    <w:rsid w:val="00677F4E"/>
    <w:rsid w:val="00677F5B"/>
    <w:rsid w:val="00682844"/>
    <w:rsid w:val="00682848"/>
    <w:rsid w:val="00682BF2"/>
    <w:rsid w:val="00684C7D"/>
    <w:rsid w:val="006854C3"/>
    <w:rsid w:val="0068654D"/>
    <w:rsid w:val="00687801"/>
    <w:rsid w:val="00690839"/>
    <w:rsid w:val="00690ED2"/>
    <w:rsid w:val="006913C8"/>
    <w:rsid w:val="006927AE"/>
    <w:rsid w:val="00693D50"/>
    <w:rsid w:val="00694551"/>
    <w:rsid w:val="006948BE"/>
    <w:rsid w:val="00694F59"/>
    <w:rsid w:val="00695FBA"/>
    <w:rsid w:val="00696821"/>
    <w:rsid w:val="00696898"/>
    <w:rsid w:val="00697B25"/>
    <w:rsid w:val="006A19A8"/>
    <w:rsid w:val="006A1A2B"/>
    <w:rsid w:val="006A1CF8"/>
    <w:rsid w:val="006A300C"/>
    <w:rsid w:val="006A3F09"/>
    <w:rsid w:val="006A416F"/>
    <w:rsid w:val="006A472E"/>
    <w:rsid w:val="006A4A4B"/>
    <w:rsid w:val="006A51E5"/>
    <w:rsid w:val="006B3737"/>
    <w:rsid w:val="006B38EF"/>
    <w:rsid w:val="006B4494"/>
    <w:rsid w:val="006B46F5"/>
    <w:rsid w:val="006B4A3A"/>
    <w:rsid w:val="006B5287"/>
    <w:rsid w:val="006C086A"/>
    <w:rsid w:val="006C1B70"/>
    <w:rsid w:val="006C2167"/>
    <w:rsid w:val="006C2DAB"/>
    <w:rsid w:val="006C3551"/>
    <w:rsid w:val="006C3BC0"/>
    <w:rsid w:val="006C5155"/>
    <w:rsid w:val="006C5559"/>
    <w:rsid w:val="006C66D8"/>
    <w:rsid w:val="006C68D9"/>
    <w:rsid w:val="006C7C48"/>
    <w:rsid w:val="006D067F"/>
    <w:rsid w:val="006D11FC"/>
    <w:rsid w:val="006D1E24"/>
    <w:rsid w:val="006D35DE"/>
    <w:rsid w:val="006D3AF4"/>
    <w:rsid w:val="006D3CBB"/>
    <w:rsid w:val="006D530C"/>
    <w:rsid w:val="006D554E"/>
    <w:rsid w:val="006D764B"/>
    <w:rsid w:val="006E0403"/>
    <w:rsid w:val="006E0F41"/>
    <w:rsid w:val="006E0FCB"/>
    <w:rsid w:val="006E1057"/>
    <w:rsid w:val="006E1417"/>
    <w:rsid w:val="006E19AF"/>
    <w:rsid w:val="006E4AE6"/>
    <w:rsid w:val="006E61A2"/>
    <w:rsid w:val="006E7670"/>
    <w:rsid w:val="006F06AD"/>
    <w:rsid w:val="006F0CDD"/>
    <w:rsid w:val="006F0EA1"/>
    <w:rsid w:val="006F1743"/>
    <w:rsid w:val="006F31E6"/>
    <w:rsid w:val="006F5410"/>
    <w:rsid w:val="006F69EC"/>
    <w:rsid w:val="006F6A2C"/>
    <w:rsid w:val="00700027"/>
    <w:rsid w:val="0070024E"/>
    <w:rsid w:val="0070148E"/>
    <w:rsid w:val="00702693"/>
    <w:rsid w:val="00705BC0"/>
    <w:rsid w:val="00705EA4"/>
    <w:rsid w:val="0070668B"/>
    <w:rsid w:val="007069DC"/>
    <w:rsid w:val="00706A56"/>
    <w:rsid w:val="00710201"/>
    <w:rsid w:val="007102CD"/>
    <w:rsid w:val="00710D4C"/>
    <w:rsid w:val="00711731"/>
    <w:rsid w:val="0071194B"/>
    <w:rsid w:val="007121D1"/>
    <w:rsid w:val="0071267A"/>
    <w:rsid w:val="00712781"/>
    <w:rsid w:val="007127A5"/>
    <w:rsid w:val="007129D3"/>
    <w:rsid w:val="00713336"/>
    <w:rsid w:val="00713E60"/>
    <w:rsid w:val="007141FB"/>
    <w:rsid w:val="0071525F"/>
    <w:rsid w:val="0071612E"/>
    <w:rsid w:val="00716B96"/>
    <w:rsid w:val="007171D0"/>
    <w:rsid w:val="00717949"/>
    <w:rsid w:val="00717FDA"/>
    <w:rsid w:val="0072073A"/>
    <w:rsid w:val="00721557"/>
    <w:rsid w:val="00721D97"/>
    <w:rsid w:val="007221FD"/>
    <w:rsid w:val="00723B0B"/>
    <w:rsid w:val="0072499D"/>
    <w:rsid w:val="00725C33"/>
    <w:rsid w:val="0072663E"/>
    <w:rsid w:val="00726ECB"/>
    <w:rsid w:val="00730CFB"/>
    <w:rsid w:val="0073133A"/>
    <w:rsid w:val="0073147A"/>
    <w:rsid w:val="007314C8"/>
    <w:rsid w:val="0073263B"/>
    <w:rsid w:val="00732B74"/>
    <w:rsid w:val="007337A7"/>
    <w:rsid w:val="0073388A"/>
    <w:rsid w:val="00734281"/>
    <w:rsid w:val="007342B5"/>
    <w:rsid w:val="0073449A"/>
    <w:rsid w:val="00734A5B"/>
    <w:rsid w:val="00735180"/>
    <w:rsid w:val="00735E14"/>
    <w:rsid w:val="00735F57"/>
    <w:rsid w:val="0073620F"/>
    <w:rsid w:val="007367EC"/>
    <w:rsid w:val="00737149"/>
    <w:rsid w:val="00737B6B"/>
    <w:rsid w:val="00737CFC"/>
    <w:rsid w:val="00740C0A"/>
    <w:rsid w:val="00741F66"/>
    <w:rsid w:val="00744E76"/>
    <w:rsid w:val="0074569B"/>
    <w:rsid w:val="00745854"/>
    <w:rsid w:val="00745A2F"/>
    <w:rsid w:val="00745AC8"/>
    <w:rsid w:val="00745BA5"/>
    <w:rsid w:val="00746410"/>
    <w:rsid w:val="007469FD"/>
    <w:rsid w:val="00750602"/>
    <w:rsid w:val="007506B3"/>
    <w:rsid w:val="00750DB6"/>
    <w:rsid w:val="0075287B"/>
    <w:rsid w:val="00753786"/>
    <w:rsid w:val="00753B28"/>
    <w:rsid w:val="00755CF3"/>
    <w:rsid w:val="00755D22"/>
    <w:rsid w:val="007564E7"/>
    <w:rsid w:val="00756E85"/>
    <w:rsid w:val="00757D40"/>
    <w:rsid w:val="00760375"/>
    <w:rsid w:val="00761926"/>
    <w:rsid w:val="007627D9"/>
    <w:rsid w:val="007649C0"/>
    <w:rsid w:val="0076607C"/>
    <w:rsid w:val="007662B5"/>
    <w:rsid w:val="00770413"/>
    <w:rsid w:val="007709B3"/>
    <w:rsid w:val="00771287"/>
    <w:rsid w:val="00771BFF"/>
    <w:rsid w:val="00771C6E"/>
    <w:rsid w:val="00773E38"/>
    <w:rsid w:val="00774940"/>
    <w:rsid w:val="00776CAB"/>
    <w:rsid w:val="00776E25"/>
    <w:rsid w:val="00777000"/>
    <w:rsid w:val="0077751F"/>
    <w:rsid w:val="007778A0"/>
    <w:rsid w:val="00781472"/>
    <w:rsid w:val="00781F0F"/>
    <w:rsid w:val="00782664"/>
    <w:rsid w:val="007831D3"/>
    <w:rsid w:val="007850C1"/>
    <w:rsid w:val="00785178"/>
    <w:rsid w:val="0078534D"/>
    <w:rsid w:val="007864E8"/>
    <w:rsid w:val="00786A88"/>
    <w:rsid w:val="00787199"/>
    <w:rsid w:val="0078727C"/>
    <w:rsid w:val="00787719"/>
    <w:rsid w:val="0079049D"/>
    <w:rsid w:val="00791740"/>
    <w:rsid w:val="00792C78"/>
    <w:rsid w:val="007933A9"/>
    <w:rsid w:val="00793929"/>
    <w:rsid w:val="00793DC5"/>
    <w:rsid w:val="00794B9A"/>
    <w:rsid w:val="00795BB9"/>
    <w:rsid w:val="00796823"/>
    <w:rsid w:val="00796E49"/>
    <w:rsid w:val="0079729D"/>
    <w:rsid w:val="00797AA0"/>
    <w:rsid w:val="00797DED"/>
    <w:rsid w:val="007A062B"/>
    <w:rsid w:val="007A2E55"/>
    <w:rsid w:val="007A3137"/>
    <w:rsid w:val="007A31F3"/>
    <w:rsid w:val="007A55C2"/>
    <w:rsid w:val="007A5F4A"/>
    <w:rsid w:val="007A6414"/>
    <w:rsid w:val="007A7099"/>
    <w:rsid w:val="007A7887"/>
    <w:rsid w:val="007B0513"/>
    <w:rsid w:val="007B09F5"/>
    <w:rsid w:val="007B18D8"/>
    <w:rsid w:val="007B1B7B"/>
    <w:rsid w:val="007B2202"/>
    <w:rsid w:val="007B31C0"/>
    <w:rsid w:val="007B3C9A"/>
    <w:rsid w:val="007B5E21"/>
    <w:rsid w:val="007C095F"/>
    <w:rsid w:val="007C17D5"/>
    <w:rsid w:val="007C1A44"/>
    <w:rsid w:val="007C1DC3"/>
    <w:rsid w:val="007C1FFD"/>
    <w:rsid w:val="007C25AC"/>
    <w:rsid w:val="007C2DD0"/>
    <w:rsid w:val="007C4173"/>
    <w:rsid w:val="007C563E"/>
    <w:rsid w:val="007C7B54"/>
    <w:rsid w:val="007C7BB8"/>
    <w:rsid w:val="007C7E7F"/>
    <w:rsid w:val="007D06E6"/>
    <w:rsid w:val="007D1A7F"/>
    <w:rsid w:val="007D1B14"/>
    <w:rsid w:val="007D1FAC"/>
    <w:rsid w:val="007D22F1"/>
    <w:rsid w:val="007D2689"/>
    <w:rsid w:val="007D2788"/>
    <w:rsid w:val="007D2D53"/>
    <w:rsid w:val="007D3454"/>
    <w:rsid w:val="007D4F8A"/>
    <w:rsid w:val="007D4FB2"/>
    <w:rsid w:val="007D60BF"/>
    <w:rsid w:val="007D76FA"/>
    <w:rsid w:val="007E0CC9"/>
    <w:rsid w:val="007E1392"/>
    <w:rsid w:val="007E1B79"/>
    <w:rsid w:val="007E2ED6"/>
    <w:rsid w:val="007E2EF9"/>
    <w:rsid w:val="007E3FA0"/>
    <w:rsid w:val="007E45DA"/>
    <w:rsid w:val="007E546A"/>
    <w:rsid w:val="007E6F4E"/>
    <w:rsid w:val="007E776B"/>
    <w:rsid w:val="007F03B5"/>
    <w:rsid w:val="007F0455"/>
    <w:rsid w:val="007F09F2"/>
    <w:rsid w:val="007F26E2"/>
    <w:rsid w:val="007F2D37"/>
    <w:rsid w:val="007F2E08"/>
    <w:rsid w:val="007F315F"/>
    <w:rsid w:val="007F579A"/>
    <w:rsid w:val="007F5BF5"/>
    <w:rsid w:val="007F64EB"/>
    <w:rsid w:val="007F670A"/>
    <w:rsid w:val="007F742E"/>
    <w:rsid w:val="007F7EC4"/>
    <w:rsid w:val="007F7EE0"/>
    <w:rsid w:val="00800696"/>
    <w:rsid w:val="00800A72"/>
    <w:rsid w:val="00800B57"/>
    <w:rsid w:val="00800F39"/>
    <w:rsid w:val="008015EA"/>
    <w:rsid w:val="008028A4"/>
    <w:rsid w:val="00803217"/>
    <w:rsid w:val="008043F1"/>
    <w:rsid w:val="00804EAB"/>
    <w:rsid w:val="008051A3"/>
    <w:rsid w:val="008056ED"/>
    <w:rsid w:val="00805FC2"/>
    <w:rsid w:val="00807C64"/>
    <w:rsid w:val="00807E15"/>
    <w:rsid w:val="008104E0"/>
    <w:rsid w:val="0081087E"/>
    <w:rsid w:val="00811105"/>
    <w:rsid w:val="00811D9D"/>
    <w:rsid w:val="0081238F"/>
    <w:rsid w:val="00813245"/>
    <w:rsid w:val="00813E78"/>
    <w:rsid w:val="00813FD6"/>
    <w:rsid w:val="00814BE5"/>
    <w:rsid w:val="00815167"/>
    <w:rsid w:val="00815AA2"/>
    <w:rsid w:val="00817966"/>
    <w:rsid w:val="0081796F"/>
    <w:rsid w:val="00820098"/>
    <w:rsid w:val="00822FA0"/>
    <w:rsid w:val="0082387B"/>
    <w:rsid w:val="00823C18"/>
    <w:rsid w:val="00824262"/>
    <w:rsid w:val="008275B1"/>
    <w:rsid w:val="00827815"/>
    <w:rsid w:val="00827D94"/>
    <w:rsid w:val="0083007B"/>
    <w:rsid w:val="00830B22"/>
    <w:rsid w:val="00830E1C"/>
    <w:rsid w:val="008312D2"/>
    <w:rsid w:val="00832127"/>
    <w:rsid w:val="00832DF3"/>
    <w:rsid w:val="008333B6"/>
    <w:rsid w:val="0083484D"/>
    <w:rsid w:val="008350FE"/>
    <w:rsid w:val="008378CB"/>
    <w:rsid w:val="00840DE0"/>
    <w:rsid w:val="0084147C"/>
    <w:rsid w:val="00842A34"/>
    <w:rsid w:val="00844CDD"/>
    <w:rsid w:val="0084515E"/>
    <w:rsid w:val="008471B0"/>
    <w:rsid w:val="00847C73"/>
    <w:rsid w:val="0085001F"/>
    <w:rsid w:val="00850C3E"/>
    <w:rsid w:val="008510D3"/>
    <w:rsid w:val="00851443"/>
    <w:rsid w:val="008515D4"/>
    <w:rsid w:val="0085208A"/>
    <w:rsid w:val="00852984"/>
    <w:rsid w:val="00854133"/>
    <w:rsid w:val="008550E8"/>
    <w:rsid w:val="008554CE"/>
    <w:rsid w:val="00856568"/>
    <w:rsid w:val="00857EB3"/>
    <w:rsid w:val="00860623"/>
    <w:rsid w:val="008607A8"/>
    <w:rsid w:val="00861551"/>
    <w:rsid w:val="008619B8"/>
    <w:rsid w:val="00861FEE"/>
    <w:rsid w:val="00862027"/>
    <w:rsid w:val="0086354A"/>
    <w:rsid w:val="00865EDE"/>
    <w:rsid w:val="00866295"/>
    <w:rsid w:val="008668A5"/>
    <w:rsid w:val="00866A0C"/>
    <w:rsid w:val="00870505"/>
    <w:rsid w:val="00871728"/>
    <w:rsid w:val="00871D08"/>
    <w:rsid w:val="008732D6"/>
    <w:rsid w:val="00875CA2"/>
    <w:rsid w:val="00875EB1"/>
    <w:rsid w:val="008768CA"/>
    <w:rsid w:val="00877EF9"/>
    <w:rsid w:val="00880559"/>
    <w:rsid w:val="008818E2"/>
    <w:rsid w:val="00882533"/>
    <w:rsid w:val="00882756"/>
    <w:rsid w:val="008849F5"/>
    <w:rsid w:val="008855C3"/>
    <w:rsid w:val="00886B71"/>
    <w:rsid w:val="00887329"/>
    <w:rsid w:val="008905C2"/>
    <w:rsid w:val="00890D75"/>
    <w:rsid w:val="00892166"/>
    <w:rsid w:val="00892FAC"/>
    <w:rsid w:val="00895017"/>
    <w:rsid w:val="00895A0B"/>
    <w:rsid w:val="00896CB6"/>
    <w:rsid w:val="008A481F"/>
    <w:rsid w:val="008B0846"/>
    <w:rsid w:val="008B29B9"/>
    <w:rsid w:val="008B5306"/>
    <w:rsid w:val="008B5890"/>
    <w:rsid w:val="008B6D4C"/>
    <w:rsid w:val="008B6ED2"/>
    <w:rsid w:val="008B74AF"/>
    <w:rsid w:val="008C0076"/>
    <w:rsid w:val="008C1792"/>
    <w:rsid w:val="008C2858"/>
    <w:rsid w:val="008C285A"/>
    <w:rsid w:val="008C2E2A"/>
    <w:rsid w:val="008C2F08"/>
    <w:rsid w:val="008C3057"/>
    <w:rsid w:val="008C3BA0"/>
    <w:rsid w:val="008C3CE9"/>
    <w:rsid w:val="008C469D"/>
    <w:rsid w:val="008C4E29"/>
    <w:rsid w:val="008C51E1"/>
    <w:rsid w:val="008C635A"/>
    <w:rsid w:val="008C68EA"/>
    <w:rsid w:val="008C7DE0"/>
    <w:rsid w:val="008C7EF9"/>
    <w:rsid w:val="008D0321"/>
    <w:rsid w:val="008D19D1"/>
    <w:rsid w:val="008D1DD1"/>
    <w:rsid w:val="008D2E4D"/>
    <w:rsid w:val="008D3812"/>
    <w:rsid w:val="008D3BA5"/>
    <w:rsid w:val="008D49D8"/>
    <w:rsid w:val="008D5B6B"/>
    <w:rsid w:val="008D5DFA"/>
    <w:rsid w:val="008D655C"/>
    <w:rsid w:val="008D6817"/>
    <w:rsid w:val="008D6C0E"/>
    <w:rsid w:val="008E0988"/>
    <w:rsid w:val="008E199E"/>
    <w:rsid w:val="008E1C22"/>
    <w:rsid w:val="008E2927"/>
    <w:rsid w:val="008E2FA2"/>
    <w:rsid w:val="008E596A"/>
    <w:rsid w:val="008E675F"/>
    <w:rsid w:val="008E6D9F"/>
    <w:rsid w:val="008F1714"/>
    <w:rsid w:val="008F2A43"/>
    <w:rsid w:val="008F32B3"/>
    <w:rsid w:val="008F391F"/>
    <w:rsid w:val="008F396F"/>
    <w:rsid w:val="008F3DCD"/>
    <w:rsid w:val="008F5092"/>
    <w:rsid w:val="008F60D4"/>
    <w:rsid w:val="0090129C"/>
    <w:rsid w:val="00901D5C"/>
    <w:rsid w:val="0090271F"/>
    <w:rsid w:val="009027DA"/>
    <w:rsid w:val="00902867"/>
    <w:rsid w:val="00902BC5"/>
    <w:rsid w:val="00902DB9"/>
    <w:rsid w:val="00903709"/>
    <w:rsid w:val="00903A30"/>
    <w:rsid w:val="00904614"/>
    <w:rsid w:val="0090466A"/>
    <w:rsid w:val="00905261"/>
    <w:rsid w:val="00905BFE"/>
    <w:rsid w:val="00905E39"/>
    <w:rsid w:val="00906C0B"/>
    <w:rsid w:val="00906E92"/>
    <w:rsid w:val="00907FE0"/>
    <w:rsid w:val="0091035F"/>
    <w:rsid w:val="00910B54"/>
    <w:rsid w:val="00911D3B"/>
    <w:rsid w:val="00912176"/>
    <w:rsid w:val="009135E5"/>
    <w:rsid w:val="009139F6"/>
    <w:rsid w:val="00913BD4"/>
    <w:rsid w:val="009143D1"/>
    <w:rsid w:val="0091704E"/>
    <w:rsid w:val="00920E92"/>
    <w:rsid w:val="00921E6D"/>
    <w:rsid w:val="0092209D"/>
    <w:rsid w:val="00922190"/>
    <w:rsid w:val="00923655"/>
    <w:rsid w:val="0092419C"/>
    <w:rsid w:val="00926107"/>
    <w:rsid w:val="0092610E"/>
    <w:rsid w:val="009263AC"/>
    <w:rsid w:val="009322D7"/>
    <w:rsid w:val="009333E1"/>
    <w:rsid w:val="00934DEF"/>
    <w:rsid w:val="0093589D"/>
    <w:rsid w:val="00935948"/>
    <w:rsid w:val="00936071"/>
    <w:rsid w:val="009376AF"/>
    <w:rsid w:val="009376CD"/>
    <w:rsid w:val="00940212"/>
    <w:rsid w:val="00941A5E"/>
    <w:rsid w:val="00941C46"/>
    <w:rsid w:val="009428FC"/>
    <w:rsid w:val="00942EC2"/>
    <w:rsid w:val="009434F8"/>
    <w:rsid w:val="00943F64"/>
    <w:rsid w:val="00946D5B"/>
    <w:rsid w:val="009504CA"/>
    <w:rsid w:val="009505D8"/>
    <w:rsid w:val="009508D2"/>
    <w:rsid w:val="00950B99"/>
    <w:rsid w:val="009510B8"/>
    <w:rsid w:val="00951A3D"/>
    <w:rsid w:val="00951A4F"/>
    <w:rsid w:val="00952941"/>
    <w:rsid w:val="00953214"/>
    <w:rsid w:val="0095330B"/>
    <w:rsid w:val="0095343C"/>
    <w:rsid w:val="00954C78"/>
    <w:rsid w:val="00954D76"/>
    <w:rsid w:val="00955E64"/>
    <w:rsid w:val="00955FB6"/>
    <w:rsid w:val="0095778B"/>
    <w:rsid w:val="0096059F"/>
    <w:rsid w:val="00960B47"/>
    <w:rsid w:val="00960F02"/>
    <w:rsid w:val="009617FB"/>
    <w:rsid w:val="00961B32"/>
    <w:rsid w:val="00961BCE"/>
    <w:rsid w:val="00962455"/>
    <w:rsid w:val="00962509"/>
    <w:rsid w:val="00965089"/>
    <w:rsid w:val="009654E2"/>
    <w:rsid w:val="00965E6D"/>
    <w:rsid w:val="00966ABC"/>
    <w:rsid w:val="00966CE8"/>
    <w:rsid w:val="00970666"/>
    <w:rsid w:val="00970A5E"/>
    <w:rsid w:val="00970DB3"/>
    <w:rsid w:val="00971A5C"/>
    <w:rsid w:val="00971B1E"/>
    <w:rsid w:val="00972FBD"/>
    <w:rsid w:val="00973D04"/>
    <w:rsid w:val="00974BB0"/>
    <w:rsid w:val="00974CF6"/>
    <w:rsid w:val="00975530"/>
    <w:rsid w:val="00975BCD"/>
    <w:rsid w:val="00975FF0"/>
    <w:rsid w:val="0097603C"/>
    <w:rsid w:val="00977122"/>
    <w:rsid w:val="00977609"/>
    <w:rsid w:val="009779E1"/>
    <w:rsid w:val="00977EAC"/>
    <w:rsid w:val="0098006C"/>
    <w:rsid w:val="0098195C"/>
    <w:rsid w:val="00981B7A"/>
    <w:rsid w:val="009827C3"/>
    <w:rsid w:val="00982DAE"/>
    <w:rsid w:val="00984741"/>
    <w:rsid w:val="00986172"/>
    <w:rsid w:val="00986407"/>
    <w:rsid w:val="009866C4"/>
    <w:rsid w:val="00986876"/>
    <w:rsid w:val="00986B60"/>
    <w:rsid w:val="00987140"/>
    <w:rsid w:val="00987AB0"/>
    <w:rsid w:val="00990814"/>
    <w:rsid w:val="009913B3"/>
    <w:rsid w:val="009928A9"/>
    <w:rsid w:val="00992ED4"/>
    <w:rsid w:val="009932BF"/>
    <w:rsid w:val="00994DB1"/>
    <w:rsid w:val="00995D8C"/>
    <w:rsid w:val="0099624B"/>
    <w:rsid w:val="009964C1"/>
    <w:rsid w:val="009966DB"/>
    <w:rsid w:val="00997F2F"/>
    <w:rsid w:val="00997FAD"/>
    <w:rsid w:val="009A08F9"/>
    <w:rsid w:val="009A0A31"/>
    <w:rsid w:val="009A0AF3"/>
    <w:rsid w:val="009A0EDD"/>
    <w:rsid w:val="009A2126"/>
    <w:rsid w:val="009A2EEE"/>
    <w:rsid w:val="009A4931"/>
    <w:rsid w:val="009A5858"/>
    <w:rsid w:val="009A5940"/>
    <w:rsid w:val="009B07CD"/>
    <w:rsid w:val="009B13FA"/>
    <w:rsid w:val="009B26F6"/>
    <w:rsid w:val="009B607E"/>
    <w:rsid w:val="009B647D"/>
    <w:rsid w:val="009B66BD"/>
    <w:rsid w:val="009B6B5E"/>
    <w:rsid w:val="009B6F94"/>
    <w:rsid w:val="009B7234"/>
    <w:rsid w:val="009C01DB"/>
    <w:rsid w:val="009C0E65"/>
    <w:rsid w:val="009C187D"/>
    <w:rsid w:val="009C19E9"/>
    <w:rsid w:val="009C32F8"/>
    <w:rsid w:val="009C6D75"/>
    <w:rsid w:val="009D5A5D"/>
    <w:rsid w:val="009D6D53"/>
    <w:rsid w:val="009D7467"/>
    <w:rsid w:val="009D74A6"/>
    <w:rsid w:val="009D7615"/>
    <w:rsid w:val="009E070C"/>
    <w:rsid w:val="009E0E87"/>
    <w:rsid w:val="009E1CEC"/>
    <w:rsid w:val="009E1F72"/>
    <w:rsid w:val="009E291C"/>
    <w:rsid w:val="009E55AC"/>
    <w:rsid w:val="009E5717"/>
    <w:rsid w:val="009E61B7"/>
    <w:rsid w:val="009E6B15"/>
    <w:rsid w:val="009E7A24"/>
    <w:rsid w:val="009E7A5C"/>
    <w:rsid w:val="009E7EC4"/>
    <w:rsid w:val="009F0B0E"/>
    <w:rsid w:val="009F1DF5"/>
    <w:rsid w:val="009F1F7A"/>
    <w:rsid w:val="009F2CB9"/>
    <w:rsid w:val="009F36B4"/>
    <w:rsid w:val="009F445F"/>
    <w:rsid w:val="009F45F5"/>
    <w:rsid w:val="009F49E8"/>
    <w:rsid w:val="009F4CE0"/>
    <w:rsid w:val="009F5806"/>
    <w:rsid w:val="009F59AE"/>
    <w:rsid w:val="009F6A23"/>
    <w:rsid w:val="00A00170"/>
    <w:rsid w:val="00A0066E"/>
    <w:rsid w:val="00A027CA"/>
    <w:rsid w:val="00A02FEB"/>
    <w:rsid w:val="00A03496"/>
    <w:rsid w:val="00A04A88"/>
    <w:rsid w:val="00A055DC"/>
    <w:rsid w:val="00A07140"/>
    <w:rsid w:val="00A10516"/>
    <w:rsid w:val="00A10F02"/>
    <w:rsid w:val="00A10F2C"/>
    <w:rsid w:val="00A11B52"/>
    <w:rsid w:val="00A11BF5"/>
    <w:rsid w:val="00A12E91"/>
    <w:rsid w:val="00A13227"/>
    <w:rsid w:val="00A15E38"/>
    <w:rsid w:val="00A15ED0"/>
    <w:rsid w:val="00A204CA"/>
    <w:rsid w:val="00A209D6"/>
    <w:rsid w:val="00A22738"/>
    <w:rsid w:val="00A22FED"/>
    <w:rsid w:val="00A2363D"/>
    <w:rsid w:val="00A2371A"/>
    <w:rsid w:val="00A23F51"/>
    <w:rsid w:val="00A24DA6"/>
    <w:rsid w:val="00A255A1"/>
    <w:rsid w:val="00A260EF"/>
    <w:rsid w:val="00A269E3"/>
    <w:rsid w:val="00A271CA"/>
    <w:rsid w:val="00A27C64"/>
    <w:rsid w:val="00A31B24"/>
    <w:rsid w:val="00A33876"/>
    <w:rsid w:val="00A33FE1"/>
    <w:rsid w:val="00A34163"/>
    <w:rsid w:val="00A341F5"/>
    <w:rsid w:val="00A34297"/>
    <w:rsid w:val="00A34EDB"/>
    <w:rsid w:val="00A35512"/>
    <w:rsid w:val="00A409FF"/>
    <w:rsid w:val="00A41829"/>
    <w:rsid w:val="00A430EC"/>
    <w:rsid w:val="00A4371D"/>
    <w:rsid w:val="00A4385F"/>
    <w:rsid w:val="00A43CCA"/>
    <w:rsid w:val="00A44335"/>
    <w:rsid w:val="00A44430"/>
    <w:rsid w:val="00A44671"/>
    <w:rsid w:val="00A44997"/>
    <w:rsid w:val="00A45F66"/>
    <w:rsid w:val="00A4645A"/>
    <w:rsid w:val="00A466D4"/>
    <w:rsid w:val="00A46F4E"/>
    <w:rsid w:val="00A47F02"/>
    <w:rsid w:val="00A51AAF"/>
    <w:rsid w:val="00A53724"/>
    <w:rsid w:val="00A54027"/>
    <w:rsid w:val="00A5457E"/>
    <w:rsid w:val="00A548A8"/>
    <w:rsid w:val="00A54B2B"/>
    <w:rsid w:val="00A54C46"/>
    <w:rsid w:val="00A54E74"/>
    <w:rsid w:val="00A56919"/>
    <w:rsid w:val="00A56C20"/>
    <w:rsid w:val="00A60806"/>
    <w:rsid w:val="00A61A54"/>
    <w:rsid w:val="00A6259E"/>
    <w:rsid w:val="00A6507B"/>
    <w:rsid w:val="00A65EE3"/>
    <w:rsid w:val="00A65F0A"/>
    <w:rsid w:val="00A66518"/>
    <w:rsid w:val="00A668C5"/>
    <w:rsid w:val="00A67F95"/>
    <w:rsid w:val="00A70362"/>
    <w:rsid w:val="00A71AAD"/>
    <w:rsid w:val="00A72629"/>
    <w:rsid w:val="00A7298F"/>
    <w:rsid w:val="00A743DE"/>
    <w:rsid w:val="00A745A3"/>
    <w:rsid w:val="00A75A4F"/>
    <w:rsid w:val="00A76716"/>
    <w:rsid w:val="00A7694D"/>
    <w:rsid w:val="00A802B3"/>
    <w:rsid w:val="00A80335"/>
    <w:rsid w:val="00A82346"/>
    <w:rsid w:val="00A838DA"/>
    <w:rsid w:val="00A85727"/>
    <w:rsid w:val="00A85D8F"/>
    <w:rsid w:val="00A86A2C"/>
    <w:rsid w:val="00A9051A"/>
    <w:rsid w:val="00A905D9"/>
    <w:rsid w:val="00A90727"/>
    <w:rsid w:val="00A91596"/>
    <w:rsid w:val="00A933E1"/>
    <w:rsid w:val="00A956C9"/>
    <w:rsid w:val="00A9671C"/>
    <w:rsid w:val="00AA1081"/>
    <w:rsid w:val="00AA1553"/>
    <w:rsid w:val="00AA17C8"/>
    <w:rsid w:val="00AA4349"/>
    <w:rsid w:val="00AA4F5A"/>
    <w:rsid w:val="00AA5A02"/>
    <w:rsid w:val="00AA5B50"/>
    <w:rsid w:val="00AA6D11"/>
    <w:rsid w:val="00AA6D24"/>
    <w:rsid w:val="00AB1593"/>
    <w:rsid w:val="00AB20DF"/>
    <w:rsid w:val="00AB2C03"/>
    <w:rsid w:val="00AB3DDD"/>
    <w:rsid w:val="00AB4454"/>
    <w:rsid w:val="00AB696A"/>
    <w:rsid w:val="00AB70E6"/>
    <w:rsid w:val="00AB7EC1"/>
    <w:rsid w:val="00AC0FE8"/>
    <w:rsid w:val="00AC1380"/>
    <w:rsid w:val="00AC1F4D"/>
    <w:rsid w:val="00AC4ABB"/>
    <w:rsid w:val="00AC507F"/>
    <w:rsid w:val="00AC619E"/>
    <w:rsid w:val="00AC6887"/>
    <w:rsid w:val="00AC7097"/>
    <w:rsid w:val="00AC7742"/>
    <w:rsid w:val="00AD2119"/>
    <w:rsid w:val="00AD3082"/>
    <w:rsid w:val="00AD3804"/>
    <w:rsid w:val="00AD5A07"/>
    <w:rsid w:val="00AD5AD6"/>
    <w:rsid w:val="00AD6EC3"/>
    <w:rsid w:val="00AD70AD"/>
    <w:rsid w:val="00AD7632"/>
    <w:rsid w:val="00AE019E"/>
    <w:rsid w:val="00AE131E"/>
    <w:rsid w:val="00AE22AE"/>
    <w:rsid w:val="00AE38D2"/>
    <w:rsid w:val="00AE5D2D"/>
    <w:rsid w:val="00AE60BF"/>
    <w:rsid w:val="00AE77F5"/>
    <w:rsid w:val="00AE7974"/>
    <w:rsid w:val="00AF04E8"/>
    <w:rsid w:val="00AF0FAE"/>
    <w:rsid w:val="00AF12A7"/>
    <w:rsid w:val="00AF1733"/>
    <w:rsid w:val="00AF1776"/>
    <w:rsid w:val="00AF371E"/>
    <w:rsid w:val="00AF409C"/>
    <w:rsid w:val="00AF4574"/>
    <w:rsid w:val="00AF601D"/>
    <w:rsid w:val="00AF649F"/>
    <w:rsid w:val="00AF7C5F"/>
    <w:rsid w:val="00B01130"/>
    <w:rsid w:val="00B02661"/>
    <w:rsid w:val="00B0385E"/>
    <w:rsid w:val="00B05380"/>
    <w:rsid w:val="00B05863"/>
    <w:rsid w:val="00B05962"/>
    <w:rsid w:val="00B06EDB"/>
    <w:rsid w:val="00B1032A"/>
    <w:rsid w:val="00B1172E"/>
    <w:rsid w:val="00B11EAC"/>
    <w:rsid w:val="00B13A48"/>
    <w:rsid w:val="00B15449"/>
    <w:rsid w:val="00B15A80"/>
    <w:rsid w:val="00B15B76"/>
    <w:rsid w:val="00B16687"/>
    <w:rsid w:val="00B16C2F"/>
    <w:rsid w:val="00B176C9"/>
    <w:rsid w:val="00B20081"/>
    <w:rsid w:val="00B237EC"/>
    <w:rsid w:val="00B23C7A"/>
    <w:rsid w:val="00B2602A"/>
    <w:rsid w:val="00B261CD"/>
    <w:rsid w:val="00B27303"/>
    <w:rsid w:val="00B27BDA"/>
    <w:rsid w:val="00B30F22"/>
    <w:rsid w:val="00B312E5"/>
    <w:rsid w:val="00B31F1F"/>
    <w:rsid w:val="00B34A13"/>
    <w:rsid w:val="00B4113C"/>
    <w:rsid w:val="00B413F2"/>
    <w:rsid w:val="00B41C3C"/>
    <w:rsid w:val="00B422C6"/>
    <w:rsid w:val="00B43E59"/>
    <w:rsid w:val="00B46043"/>
    <w:rsid w:val="00B4636F"/>
    <w:rsid w:val="00B463B6"/>
    <w:rsid w:val="00B46556"/>
    <w:rsid w:val="00B46E85"/>
    <w:rsid w:val="00B47C49"/>
    <w:rsid w:val="00B47FD1"/>
    <w:rsid w:val="00B51007"/>
    <w:rsid w:val="00B516BB"/>
    <w:rsid w:val="00B51B95"/>
    <w:rsid w:val="00B53DBA"/>
    <w:rsid w:val="00B54FFC"/>
    <w:rsid w:val="00B55159"/>
    <w:rsid w:val="00B5591B"/>
    <w:rsid w:val="00B5658B"/>
    <w:rsid w:val="00B6002E"/>
    <w:rsid w:val="00B606E6"/>
    <w:rsid w:val="00B608C5"/>
    <w:rsid w:val="00B61C94"/>
    <w:rsid w:val="00B6484A"/>
    <w:rsid w:val="00B657DE"/>
    <w:rsid w:val="00B65AA8"/>
    <w:rsid w:val="00B6672E"/>
    <w:rsid w:val="00B66E42"/>
    <w:rsid w:val="00B67580"/>
    <w:rsid w:val="00B712B2"/>
    <w:rsid w:val="00B714D3"/>
    <w:rsid w:val="00B726D8"/>
    <w:rsid w:val="00B73674"/>
    <w:rsid w:val="00B73E92"/>
    <w:rsid w:val="00B7466D"/>
    <w:rsid w:val="00B74BBC"/>
    <w:rsid w:val="00B7538C"/>
    <w:rsid w:val="00B75ECC"/>
    <w:rsid w:val="00B76953"/>
    <w:rsid w:val="00B77DD4"/>
    <w:rsid w:val="00B8075F"/>
    <w:rsid w:val="00B848D2"/>
    <w:rsid w:val="00B84B49"/>
    <w:rsid w:val="00B84DB2"/>
    <w:rsid w:val="00B85023"/>
    <w:rsid w:val="00B873FD"/>
    <w:rsid w:val="00B921E4"/>
    <w:rsid w:val="00B93FC5"/>
    <w:rsid w:val="00B9426B"/>
    <w:rsid w:val="00BA18CB"/>
    <w:rsid w:val="00BA38C0"/>
    <w:rsid w:val="00BA55D1"/>
    <w:rsid w:val="00BA56A5"/>
    <w:rsid w:val="00BB12BA"/>
    <w:rsid w:val="00BB1304"/>
    <w:rsid w:val="00BB1937"/>
    <w:rsid w:val="00BB1F15"/>
    <w:rsid w:val="00BB242A"/>
    <w:rsid w:val="00BB2949"/>
    <w:rsid w:val="00BB2BBC"/>
    <w:rsid w:val="00BB38AA"/>
    <w:rsid w:val="00BB3D55"/>
    <w:rsid w:val="00BB4F90"/>
    <w:rsid w:val="00BB7251"/>
    <w:rsid w:val="00BB7C42"/>
    <w:rsid w:val="00BC0826"/>
    <w:rsid w:val="00BC0BC3"/>
    <w:rsid w:val="00BC13D1"/>
    <w:rsid w:val="00BC1A67"/>
    <w:rsid w:val="00BC1BC3"/>
    <w:rsid w:val="00BC20C9"/>
    <w:rsid w:val="00BC2317"/>
    <w:rsid w:val="00BC2B59"/>
    <w:rsid w:val="00BC32E4"/>
    <w:rsid w:val="00BC3555"/>
    <w:rsid w:val="00BC3A26"/>
    <w:rsid w:val="00BC6872"/>
    <w:rsid w:val="00BC68D7"/>
    <w:rsid w:val="00BD03E5"/>
    <w:rsid w:val="00BD0726"/>
    <w:rsid w:val="00BD0830"/>
    <w:rsid w:val="00BD18BC"/>
    <w:rsid w:val="00BD1CA8"/>
    <w:rsid w:val="00BD2CE9"/>
    <w:rsid w:val="00BD2E70"/>
    <w:rsid w:val="00BD42E4"/>
    <w:rsid w:val="00BD5D0A"/>
    <w:rsid w:val="00BD67DA"/>
    <w:rsid w:val="00BE034C"/>
    <w:rsid w:val="00BE07D3"/>
    <w:rsid w:val="00BE13A7"/>
    <w:rsid w:val="00BE17AD"/>
    <w:rsid w:val="00BE2A19"/>
    <w:rsid w:val="00BE2C22"/>
    <w:rsid w:val="00BE37F4"/>
    <w:rsid w:val="00BE3A2E"/>
    <w:rsid w:val="00BE40FF"/>
    <w:rsid w:val="00BE53D6"/>
    <w:rsid w:val="00BE545C"/>
    <w:rsid w:val="00BF14F3"/>
    <w:rsid w:val="00BF21B3"/>
    <w:rsid w:val="00BF281D"/>
    <w:rsid w:val="00BF3CBC"/>
    <w:rsid w:val="00BF3E56"/>
    <w:rsid w:val="00BF4333"/>
    <w:rsid w:val="00BF45E8"/>
    <w:rsid w:val="00BF4969"/>
    <w:rsid w:val="00BF4ADF"/>
    <w:rsid w:val="00BF7272"/>
    <w:rsid w:val="00C00351"/>
    <w:rsid w:val="00C00512"/>
    <w:rsid w:val="00C02916"/>
    <w:rsid w:val="00C03B58"/>
    <w:rsid w:val="00C04398"/>
    <w:rsid w:val="00C04A27"/>
    <w:rsid w:val="00C04D62"/>
    <w:rsid w:val="00C04F3E"/>
    <w:rsid w:val="00C05CD5"/>
    <w:rsid w:val="00C07BC7"/>
    <w:rsid w:val="00C10B1F"/>
    <w:rsid w:val="00C11561"/>
    <w:rsid w:val="00C115B5"/>
    <w:rsid w:val="00C12B51"/>
    <w:rsid w:val="00C133C9"/>
    <w:rsid w:val="00C1493D"/>
    <w:rsid w:val="00C15129"/>
    <w:rsid w:val="00C162BB"/>
    <w:rsid w:val="00C1670C"/>
    <w:rsid w:val="00C17375"/>
    <w:rsid w:val="00C20AE0"/>
    <w:rsid w:val="00C21092"/>
    <w:rsid w:val="00C21461"/>
    <w:rsid w:val="00C22294"/>
    <w:rsid w:val="00C23602"/>
    <w:rsid w:val="00C237F3"/>
    <w:rsid w:val="00C23F90"/>
    <w:rsid w:val="00C243E1"/>
    <w:rsid w:val="00C24650"/>
    <w:rsid w:val="00C25465"/>
    <w:rsid w:val="00C25A41"/>
    <w:rsid w:val="00C25EA6"/>
    <w:rsid w:val="00C26053"/>
    <w:rsid w:val="00C2720F"/>
    <w:rsid w:val="00C27D85"/>
    <w:rsid w:val="00C30859"/>
    <w:rsid w:val="00C31B5A"/>
    <w:rsid w:val="00C33079"/>
    <w:rsid w:val="00C34134"/>
    <w:rsid w:val="00C34F33"/>
    <w:rsid w:val="00C352C5"/>
    <w:rsid w:val="00C353B2"/>
    <w:rsid w:val="00C35CFE"/>
    <w:rsid w:val="00C36CC6"/>
    <w:rsid w:val="00C37414"/>
    <w:rsid w:val="00C37615"/>
    <w:rsid w:val="00C405A7"/>
    <w:rsid w:val="00C424AD"/>
    <w:rsid w:val="00C42C66"/>
    <w:rsid w:val="00C44D4E"/>
    <w:rsid w:val="00C45580"/>
    <w:rsid w:val="00C460F5"/>
    <w:rsid w:val="00C46E04"/>
    <w:rsid w:val="00C473EE"/>
    <w:rsid w:val="00C479AE"/>
    <w:rsid w:val="00C5010C"/>
    <w:rsid w:val="00C5072C"/>
    <w:rsid w:val="00C52ECE"/>
    <w:rsid w:val="00C53212"/>
    <w:rsid w:val="00C5348B"/>
    <w:rsid w:val="00C5362D"/>
    <w:rsid w:val="00C53E70"/>
    <w:rsid w:val="00C54AE7"/>
    <w:rsid w:val="00C54DA4"/>
    <w:rsid w:val="00C54F5D"/>
    <w:rsid w:val="00C55038"/>
    <w:rsid w:val="00C55A12"/>
    <w:rsid w:val="00C56734"/>
    <w:rsid w:val="00C56C9F"/>
    <w:rsid w:val="00C603BA"/>
    <w:rsid w:val="00C61653"/>
    <w:rsid w:val="00C619AB"/>
    <w:rsid w:val="00C637FD"/>
    <w:rsid w:val="00C63E34"/>
    <w:rsid w:val="00C6553E"/>
    <w:rsid w:val="00C66523"/>
    <w:rsid w:val="00C66D96"/>
    <w:rsid w:val="00C677E9"/>
    <w:rsid w:val="00C67EA4"/>
    <w:rsid w:val="00C70DC4"/>
    <w:rsid w:val="00C71250"/>
    <w:rsid w:val="00C726FB"/>
    <w:rsid w:val="00C73F0A"/>
    <w:rsid w:val="00C7515F"/>
    <w:rsid w:val="00C7601C"/>
    <w:rsid w:val="00C760D4"/>
    <w:rsid w:val="00C76A1A"/>
    <w:rsid w:val="00C76B6B"/>
    <w:rsid w:val="00C772A8"/>
    <w:rsid w:val="00C77978"/>
    <w:rsid w:val="00C80D05"/>
    <w:rsid w:val="00C819E6"/>
    <w:rsid w:val="00C831CC"/>
    <w:rsid w:val="00C832AB"/>
    <w:rsid w:val="00C83895"/>
    <w:rsid w:val="00C839AE"/>
    <w:rsid w:val="00C83A13"/>
    <w:rsid w:val="00C844F8"/>
    <w:rsid w:val="00C86993"/>
    <w:rsid w:val="00C86F10"/>
    <w:rsid w:val="00C876F4"/>
    <w:rsid w:val="00C9068C"/>
    <w:rsid w:val="00C91F36"/>
    <w:rsid w:val="00C920C6"/>
    <w:rsid w:val="00C92967"/>
    <w:rsid w:val="00C94794"/>
    <w:rsid w:val="00C9651E"/>
    <w:rsid w:val="00C96A2B"/>
    <w:rsid w:val="00CA0FF2"/>
    <w:rsid w:val="00CA1636"/>
    <w:rsid w:val="00CA2A8B"/>
    <w:rsid w:val="00CA358C"/>
    <w:rsid w:val="00CA390E"/>
    <w:rsid w:val="00CA3D0C"/>
    <w:rsid w:val="00CA3EB3"/>
    <w:rsid w:val="00CA47AD"/>
    <w:rsid w:val="00CA4E46"/>
    <w:rsid w:val="00CA5E5B"/>
    <w:rsid w:val="00CA654B"/>
    <w:rsid w:val="00CA6F88"/>
    <w:rsid w:val="00CA7092"/>
    <w:rsid w:val="00CB1DA9"/>
    <w:rsid w:val="00CB1F48"/>
    <w:rsid w:val="00CB2D10"/>
    <w:rsid w:val="00CB3154"/>
    <w:rsid w:val="00CB396F"/>
    <w:rsid w:val="00CB40C7"/>
    <w:rsid w:val="00CB4426"/>
    <w:rsid w:val="00CB4772"/>
    <w:rsid w:val="00CB51CE"/>
    <w:rsid w:val="00CB670C"/>
    <w:rsid w:val="00CB72B8"/>
    <w:rsid w:val="00CC15DE"/>
    <w:rsid w:val="00CC224A"/>
    <w:rsid w:val="00CC3C7A"/>
    <w:rsid w:val="00CC4132"/>
    <w:rsid w:val="00CC4645"/>
    <w:rsid w:val="00CC56CB"/>
    <w:rsid w:val="00CC653B"/>
    <w:rsid w:val="00CC735B"/>
    <w:rsid w:val="00CC78C7"/>
    <w:rsid w:val="00CC7BAA"/>
    <w:rsid w:val="00CD0BA8"/>
    <w:rsid w:val="00CD14F3"/>
    <w:rsid w:val="00CD4064"/>
    <w:rsid w:val="00CD4948"/>
    <w:rsid w:val="00CD4C7B"/>
    <w:rsid w:val="00CD4F02"/>
    <w:rsid w:val="00CD5366"/>
    <w:rsid w:val="00CD58FE"/>
    <w:rsid w:val="00CD6038"/>
    <w:rsid w:val="00CD75BC"/>
    <w:rsid w:val="00CD7EDD"/>
    <w:rsid w:val="00CE08D1"/>
    <w:rsid w:val="00CE1B38"/>
    <w:rsid w:val="00CE31BB"/>
    <w:rsid w:val="00CE352B"/>
    <w:rsid w:val="00CE4064"/>
    <w:rsid w:val="00CE4C53"/>
    <w:rsid w:val="00CE742E"/>
    <w:rsid w:val="00CF1E1A"/>
    <w:rsid w:val="00CF27B8"/>
    <w:rsid w:val="00CF2BB9"/>
    <w:rsid w:val="00CF3AA3"/>
    <w:rsid w:val="00CF4D95"/>
    <w:rsid w:val="00CF4DF3"/>
    <w:rsid w:val="00CF5E41"/>
    <w:rsid w:val="00CF6820"/>
    <w:rsid w:val="00CF73D9"/>
    <w:rsid w:val="00D004AD"/>
    <w:rsid w:val="00D011CA"/>
    <w:rsid w:val="00D020FC"/>
    <w:rsid w:val="00D03057"/>
    <w:rsid w:val="00D0378F"/>
    <w:rsid w:val="00D0507F"/>
    <w:rsid w:val="00D06125"/>
    <w:rsid w:val="00D06188"/>
    <w:rsid w:val="00D06948"/>
    <w:rsid w:val="00D10D18"/>
    <w:rsid w:val="00D12D1B"/>
    <w:rsid w:val="00D12DDB"/>
    <w:rsid w:val="00D158D1"/>
    <w:rsid w:val="00D17225"/>
    <w:rsid w:val="00D1769D"/>
    <w:rsid w:val="00D20234"/>
    <w:rsid w:val="00D21628"/>
    <w:rsid w:val="00D21BD1"/>
    <w:rsid w:val="00D2210F"/>
    <w:rsid w:val="00D22B9C"/>
    <w:rsid w:val="00D24065"/>
    <w:rsid w:val="00D24C0D"/>
    <w:rsid w:val="00D24FD5"/>
    <w:rsid w:val="00D25208"/>
    <w:rsid w:val="00D2739D"/>
    <w:rsid w:val="00D27618"/>
    <w:rsid w:val="00D31005"/>
    <w:rsid w:val="00D33A07"/>
    <w:rsid w:val="00D33BE3"/>
    <w:rsid w:val="00D35DEB"/>
    <w:rsid w:val="00D361BF"/>
    <w:rsid w:val="00D36C63"/>
    <w:rsid w:val="00D37918"/>
    <w:rsid w:val="00D3792D"/>
    <w:rsid w:val="00D43A08"/>
    <w:rsid w:val="00D44B00"/>
    <w:rsid w:val="00D44D37"/>
    <w:rsid w:val="00D4517A"/>
    <w:rsid w:val="00D4560A"/>
    <w:rsid w:val="00D47CAD"/>
    <w:rsid w:val="00D51036"/>
    <w:rsid w:val="00D51F0F"/>
    <w:rsid w:val="00D52FC5"/>
    <w:rsid w:val="00D55E47"/>
    <w:rsid w:val="00D601A1"/>
    <w:rsid w:val="00D60C67"/>
    <w:rsid w:val="00D6126D"/>
    <w:rsid w:val="00D619C2"/>
    <w:rsid w:val="00D62E19"/>
    <w:rsid w:val="00D62E33"/>
    <w:rsid w:val="00D6403C"/>
    <w:rsid w:val="00D64B1C"/>
    <w:rsid w:val="00D6517A"/>
    <w:rsid w:val="00D65D48"/>
    <w:rsid w:val="00D66111"/>
    <w:rsid w:val="00D6674C"/>
    <w:rsid w:val="00D66E3D"/>
    <w:rsid w:val="00D6762B"/>
    <w:rsid w:val="00D67CD1"/>
    <w:rsid w:val="00D7022F"/>
    <w:rsid w:val="00D721A0"/>
    <w:rsid w:val="00D72617"/>
    <w:rsid w:val="00D727AF"/>
    <w:rsid w:val="00D727BD"/>
    <w:rsid w:val="00D72C64"/>
    <w:rsid w:val="00D738D6"/>
    <w:rsid w:val="00D75219"/>
    <w:rsid w:val="00D77AB6"/>
    <w:rsid w:val="00D80487"/>
    <w:rsid w:val="00D80795"/>
    <w:rsid w:val="00D80FFA"/>
    <w:rsid w:val="00D83CD7"/>
    <w:rsid w:val="00D843A6"/>
    <w:rsid w:val="00D851BD"/>
    <w:rsid w:val="00D854BE"/>
    <w:rsid w:val="00D87009"/>
    <w:rsid w:val="00D87702"/>
    <w:rsid w:val="00D87E00"/>
    <w:rsid w:val="00D87E83"/>
    <w:rsid w:val="00D9134D"/>
    <w:rsid w:val="00D914CD"/>
    <w:rsid w:val="00D919E3"/>
    <w:rsid w:val="00D9260D"/>
    <w:rsid w:val="00D92893"/>
    <w:rsid w:val="00D92DA4"/>
    <w:rsid w:val="00D92ED2"/>
    <w:rsid w:val="00D93832"/>
    <w:rsid w:val="00D93914"/>
    <w:rsid w:val="00D949E8"/>
    <w:rsid w:val="00D94AE4"/>
    <w:rsid w:val="00D95F80"/>
    <w:rsid w:val="00D96808"/>
    <w:rsid w:val="00D96D11"/>
    <w:rsid w:val="00D97C88"/>
    <w:rsid w:val="00DA29BD"/>
    <w:rsid w:val="00DA3D44"/>
    <w:rsid w:val="00DA6127"/>
    <w:rsid w:val="00DA7A03"/>
    <w:rsid w:val="00DA7D34"/>
    <w:rsid w:val="00DB0DB8"/>
    <w:rsid w:val="00DB159F"/>
    <w:rsid w:val="00DB1818"/>
    <w:rsid w:val="00DB1F9F"/>
    <w:rsid w:val="00DB3682"/>
    <w:rsid w:val="00DB3918"/>
    <w:rsid w:val="00DB4BAC"/>
    <w:rsid w:val="00DB6578"/>
    <w:rsid w:val="00DB6AEF"/>
    <w:rsid w:val="00DB7358"/>
    <w:rsid w:val="00DB74A8"/>
    <w:rsid w:val="00DC045F"/>
    <w:rsid w:val="00DC056C"/>
    <w:rsid w:val="00DC18DA"/>
    <w:rsid w:val="00DC1BBD"/>
    <w:rsid w:val="00DC2B31"/>
    <w:rsid w:val="00DC309B"/>
    <w:rsid w:val="00DC329D"/>
    <w:rsid w:val="00DC3ED9"/>
    <w:rsid w:val="00DC4DA2"/>
    <w:rsid w:val="00DC5261"/>
    <w:rsid w:val="00DC6A61"/>
    <w:rsid w:val="00DC75FA"/>
    <w:rsid w:val="00DC7C44"/>
    <w:rsid w:val="00DD18E1"/>
    <w:rsid w:val="00DD212B"/>
    <w:rsid w:val="00DD24D6"/>
    <w:rsid w:val="00DD3480"/>
    <w:rsid w:val="00DD4409"/>
    <w:rsid w:val="00DD5188"/>
    <w:rsid w:val="00DD5D4C"/>
    <w:rsid w:val="00DD64BE"/>
    <w:rsid w:val="00DD76C2"/>
    <w:rsid w:val="00DE03D3"/>
    <w:rsid w:val="00DE10B9"/>
    <w:rsid w:val="00DE22A8"/>
    <w:rsid w:val="00DE25D2"/>
    <w:rsid w:val="00DE491C"/>
    <w:rsid w:val="00DF159B"/>
    <w:rsid w:val="00DF218F"/>
    <w:rsid w:val="00DF294B"/>
    <w:rsid w:val="00DF4645"/>
    <w:rsid w:val="00DF46E9"/>
    <w:rsid w:val="00DF71B8"/>
    <w:rsid w:val="00DF7834"/>
    <w:rsid w:val="00DF7872"/>
    <w:rsid w:val="00E00D16"/>
    <w:rsid w:val="00E01AC7"/>
    <w:rsid w:val="00E02228"/>
    <w:rsid w:val="00E0267E"/>
    <w:rsid w:val="00E042B7"/>
    <w:rsid w:val="00E04C5A"/>
    <w:rsid w:val="00E053D4"/>
    <w:rsid w:val="00E057D5"/>
    <w:rsid w:val="00E05D04"/>
    <w:rsid w:val="00E10513"/>
    <w:rsid w:val="00E107C1"/>
    <w:rsid w:val="00E1255A"/>
    <w:rsid w:val="00E131B9"/>
    <w:rsid w:val="00E131E1"/>
    <w:rsid w:val="00E147E9"/>
    <w:rsid w:val="00E1589E"/>
    <w:rsid w:val="00E16A39"/>
    <w:rsid w:val="00E16BF5"/>
    <w:rsid w:val="00E20D5B"/>
    <w:rsid w:val="00E2118D"/>
    <w:rsid w:val="00E223EE"/>
    <w:rsid w:val="00E2250E"/>
    <w:rsid w:val="00E2305F"/>
    <w:rsid w:val="00E241E2"/>
    <w:rsid w:val="00E24C00"/>
    <w:rsid w:val="00E26122"/>
    <w:rsid w:val="00E262F2"/>
    <w:rsid w:val="00E271EB"/>
    <w:rsid w:val="00E337F6"/>
    <w:rsid w:val="00E340BB"/>
    <w:rsid w:val="00E353C0"/>
    <w:rsid w:val="00E37983"/>
    <w:rsid w:val="00E37E4F"/>
    <w:rsid w:val="00E40614"/>
    <w:rsid w:val="00E4131C"/>
    <w:rsid w:val="00E41B53"/>
    <w:rsid w:val="00E4283F"/>
    <w:rsid w:val="00E447E6"/>
    <w:rsid w:val="00E44821"/>
    <w:rsid w:val="00E45739"/>
    <w:rsid w:val="00E4615A"/>
    <w:rsid w:val="00E46C08"/>
    <w:rsid w:val="00E471CF"/>
    <w:rsid w:val="00E47979"/>
    <w:rsid w:val="00E520AE"/>
    <w:rsid w:val="00E52D7A"/>
    <w:rsid w:val="00E540B3"/>
    <w:rsid w:val="00E5433E"/>
    <w:rsid w:val="00E54D39"/>
    <w:rsid w:val="00E55DA6"/>
    <w:rsid w:val="00E563FA"/>
    <w:rsid w:val="00E575B2"/>
    <w:rsid w:val="00E57BD1"/>
    <w:rsid w:val="00E57E77"/>
    <w:rsid w:val="00E606C4"/>
    <w:rsid w:val="00E609A3"/>
    <w:rsid w:val="00E6247A"/>
    <w:rsid w:val="00E62835"/>
    <w:rsid w:val="00E62BC9"/>
    <w:rsid w:val="00E62D26"/>
    <w:rsid w:val="00E66ABA"/>
    <w:rsid w:val="00E67116"/>
    <w:rsid w:val="00E675D5"/>
    <w:rsid w:val="00E67CE5"/>
    <w:rsid w:val="00E7096B"/>
    <w:rsid w:val="00E72011"/>
    <w:rsid w:val="00E74041"/>
    <w:rsid w:val="00E743A8"/>
    <w:rsid w:val="00E74804"/>
    <w:rsid w:val="00E7496B"/>
    <w:rsid w:val="00E74E5E"/>
    <w:rsid w:val="00E75577"/>
    <w:rsid w:val="00E76044"/>
    <w:rsid w:val="00E766EC"/>
    <w:rsid w:val="00E77645"/>
    <w:rsid w:val="00E82625"/>
    <w:rsid w:val="00E826C7"/>
    <w:rsid w:val="00E83697"/>
    <w:rsid w:val="00E83852"/>
    <w:rsid w:val="00E85387"/>
    <w:rsid w:val="00E859B6"/>
    <w:rsid w:val="00E8654C"/>
    <w:rsid w:val="00E86809"/>
    <w:rsid w:val="00E86D6D"/>
    <w:rsid w:val="00E9103A"/>
    <w:rsid w:val="00E92208"/>
    <w:rsid w:val="00E9389B"/>
    <w:rsid w:val="00E93D02"/>
    <w:rsid w:val="00E94014"/>
    <w:rsid w:val="00E94277"/>
    <w:rsid w:val="00E9509D"/>
    <w:rsid w:val="00E96CD0"/>
    <w:rsid w:val="00E96F95"/>
    <w:rsid w:val="00E9753F"/>
    <w:rsid w:val="00EA0316"/>
    <w:rsid w:val="00EA12F9"/>
    <w:rsid w:val="00EA2F12"/>
    <w:rsid w:val="00EA3E27"/>
    <w:rsid w:val="00EA5A15"/>
    <w:rsid w:val="00EA66C9"/>
    <w:rsid w:val="00EA6F9D"/>
    <w:rsid w:val="00EA715F"/>
    <w:rsid w:val="00EA7B85"/>
    <w:rsid w:val="00EB06B2"/>
    <w:rsid w:val="00EB0784"/>
    <w:rsid w:val="00EB304C"/>
    <w:rsid w:val="00EB34AD"/>
    <w:rsid w:val="00EB378C"/>
    <w:rsid w:val="00EB4E14"/>
    <w:rsid w:val="00EB513E"/>
    <w:rsid w:val="00EB56A0"/>
    <w:rsid w:val="00EB5A68"/>
    <w:rsid w:val="00EC09D5"/>
    <w:rsid w:val="00EC230D"/>
    <w:rsid w:val="00EC340C"/>
    <w:rsid w:val="00EC43BF"/>
    <w:rsid w:val="00EC4A25"/>
    <w:rsid w:val="00EC61BE"/>
    <w:rsid w:val="00EC62F8"/>
    <w:rsid w:val="00EC6C86"/>
    <w:rsid w:val="00EC6F51"/>
    <w:rsid w:val="00EC7DFE"/>
    <w:rsid w:val="00ED0457"/>
    <w:rsid w:val="00ED112E"/>
    <w:rsid w:val="00ED1ADF"/>
    <w:rsid w:val="00ED1BAA"/>
    <w:rsid w:val="00ED1EEA"/>
    <w:rsid w:val="00ED3057"/>
    <w:rsid w:val="00ED35F7"/>
    <w:rsid w:val="00ED40AC"/>
    <w:rsid w:val="00ED53CE"/>
    <w:rsid w:val="00ED6022"/>
    <w:rsid w:val="00ED6061"/>
    <w:rsid w:val="00ED608E"/>
    <w:rsid w:val="00EE00AC"/>
    <w:rsid w:val="00EE14E2"/>
    <w:rsid w:val="00EE1996"/>
    <w:rsid w:val="00EE2069"/>
    <w:rsid w:val="00EE297D"/>
    <w:rsid w:val="00EE2E97"/>
    <w:rsid w:val="00EE384F"/>
    <w:rsid w:val="00EE3D21"/>
    <w:rsid w:val="00EE3D2C"/>
    <w:rsid w:val="00EE4BBF"/>
    <w:rsid w:val="00EE4F7D"/>
    <w:rsid w:val="00EE5D46"/>
    <w:rsid w:val="00EE5F79"/>
    <w:rsid w:val="00EE61B2"/>
    <w:rsid w:val="00EE671D"/>
    <w:rsid w:val="00EF0C39"/>
    <w:rsid w:val="00EF0DB9"/>
    <w:rsid w:val="00EF0E03"/>
    <w:rsid w:val="00EF612C"/>
    <w:rsid w:val="00EF7203"/>
    <w:rsid w:val="00EF7AA9"/>
    <w:rsid w:val="00F004D9"/>
    <w:rsid w:val="00F00DFE"/>
    <w:rsid w:val="00F01C6C"/>
    <w:rsid w:val="00F01C7D"/>
    <w:rsid w:val="00F025A2"/>
    <w:rsid w:val="00F036E9"/>
    <w:rsid w:val="00F0378D"/>
    <w:rsid w:val="00F0428F"/>
    <w:rsid w:val="00F043D1"/>
    <w:rsid w:val="00F0476F"/>
    <w:rsid w:val="00F04F67"/>
    <w:rsid w:val="00F07388"/>
    <w:rsid w:val="00F0750E"/>
    <w:rsid w:val="00F07939"/>
    <w:rsid w:val="00F10733"/>
    <w:rsid w:val="00F11387"/>
    <w:rsid w:val="00F12DE6"/>
    <w:rsid w:val="00F141DF"/>
    <w:rsid w:val="00F155C2"/>
    <w:rsid w:val="00F15E63"/>
    <w:rsid w:val="00F16080"/>
    <w:rsid w:val="00F177BD"/>
    <w:rsid w:val="00F2026E"/>
    <w:rsid w:val="00F206BD"/>
    <w:rsid w:val="00F2073A"/>
    <w:rsid w:val="00F2173A"/>
    <w:rsid w:val="00F2210A"/>
    <w:rsid w:val="00F22C3E"/>
    <w:rsid w:val="00F239F4"/>
    <w:rsid w:val="00F23E2E"/>
    <w:rsid w:val="00F247F6"/>
    <w:rsid w:val="00F25696"/>
    <w:rsid w:val="00F26EB7"/>
    <w:rsid w:val="00F275A1"/>
    <w:rsid w:val="00F27907"/>
    <w:rsid w:val="00F3039A"/>
    <w:rsid w:val="00F31372"/>
    <w:rsid w:val="00F33041"/>
    <w:rsid w:val="00F33E2F"/>
    <w:rsid w:val="00F33E54"/>
    <w:rsid w:val="00F341BE"/>
    <w:rsid w:val="00F3485F"/>
    <w:rsid w:val="00F349D4"/>
    <w:rsid w:val="00F36DFC"/>
    <w:rsid w:val="00F37678"/>
    <w:rsid w:val="00F37743"/>
    <w:rsid w:val="00F379D0"/>
    <w:rsid w:val="00F40AF9"/>
    <w:rsid w:val="00F41A62"/>
    <w:rsid w:val="00F42330"/>
    <w:rsid w:val="00F43661"/>
    <w:rsid w:val="00F44DF5"/>
    <w:rsid w:val="00F45FE2"/>
    <w:rsid w:val="00F463C0"/>
    <w:rsid w:val="00F46B11"/>
    <w:rsid w:val="00F46F23"/>
    <w:rsid w:val="00F473BA"/>
    <w:rsid w:val="00F4749A"/>
    <w:rsid w:val="00F47CFC"/>
    <w:rsid w:val="00F521FD"/>
    <w:rsid w:val="00F52508"/>
    <w:rsid w:val="00F52DE9"/>
    <w:rsid w:val="00F54032"/>
    <w:rsid w:val="00F54A3D"/>
    <w:rsid w:val="00F54CB0"/>
    <w:rsid w:val="00F56083"/>
    <w:rsid w:val="00F56376"/>
    <w:rsid w:val="00F571A8"/>
    <w:rsid w:val="00F579CD"/>
    <w:rsid w:val="00F57A78"/>
    <w:rsid w:val="00F61301"/>
    <w:rsid w:val="00F61C8E"/>
    <w:rsid w:val="00F62A1D"/>
    <w:rsid w:val="00F633B4"/>
    <w:rsid w:val="00F653B8"/>
    <w:rsid w:val="00F66B03"/>
    <w:rsid w:val="00F673D2"/>
    <w:rsid w:val="00F701EF"/>
    <w:rsid w:val="00F70A71"/>
    <w:rsid w:val="00F71B89"/>
    <w:rsid w:val="00F7353C"/>
    <w:rsid w:val="00F73746"/>
    <w:rsid w:val="00F74440"/>
    <w:rsid w:val="00F758D2"/>
    <w:rsid w:val="00F76F8F"/>
    <w:rsid w:val="00F77B35"/>
    <w:rsid w:val="00F77CC7"/>
    <w:rsid w:val="00F77EE4"/>
    <w:rsid w:val="00F81D4D"/>
    <w:rsid w:val="00F82028"/>
    <w:rsid w:val="00F824FC"/>
    <w:rsid w:val="00F825CA"/>
    <w:rsid w:val="00F836AD"/>
    <w:rsid w:val="00F83BB0"/>
    <w:rsid w:val="00F83C4F"/>
    <w:rsid w:val="00F83CF8"/>
    <w:rsid w:val="00F84D86"/>
    <w:rsid w:val="00F86568"/>
    <w:rsid w:val="00F8702A"/>
    <w:rsid w:val="00F917E7"/>
    <w:rsid w:val="00F93051"/>
    <w:rsid w:val="00F941DF"/>
    <w:rsid w:val="00F946E9"/>
    <w:rsid w:val="00F95600"/>
    <w:rsid w:val="00F96DC0"/>
    <w:rsid w:val="00F975E4"/>
    <w:rsid w:val="00F97605"/>
    <w:rsid w:val="00FA02F4"/>
    <w:rsid w:val="00FA1266"/>
    <w:rsid w:val="00FA2071"/>
    <w:rsid w:val="00FA2589"/>
    <w:rsid w:val="00FA2FC5"/>
    <w:rsid w:val="00FA3464"/>
    <w:rsid w:val="00FA3BA9"/>
    <w:rsid w:val="00FA44AE"/>
    <w:rsid w:val="00FA58A2"/>
    <w:rsid w:val="00FA5E31"/>
    <w:rsid w:val="00FA6321"/>
    <w:rsid w:val="00FA7493"/>
    <w:rsid w:val="00FB1AB2"/>
    <w:rsid w:val="00FB22A3"/>
    <w:rsid w:val="00FB3619"/>
    <w:rsid w:val="00FB36FA"/>
    <w:rsid w:val="00FB3A4D"/>
    <w:rsid w:val="00FB3D1B"/>
    <w:rsid w:val="00FB495E"/>
    <w:rsid w:val="00FB4B4C"/>
    <w:rsid w:val="00FB5272"/>
    <w:rsid w:val="00FB6501"/>
    <w:rsid w:val="00FB6F30"/>
    <w:rsid w:val="00FB7B6E"/>
    <w:rsid w:val="00FB7DA0"/>
    <w:rsid w:val="00FC1192"/>
    <w:rsid w:val="00FC1CD6"/>
    <w:rsid w:val="00FC26E3"/>
    <w:rsid w:val="00FC2F18"/>
    <w:rsid w:val="00FC371B"/>
    <w:rsid w:val="00FC4291"/>
    <w:rsid w:val="00FC4C5E"/>
    <w:rsid w:val="00FC7E40"/>
    <w:rsid w:val="00FD046D"/>
    <w:rsid w:val="00FD0A57"/>
    <w:rsid w:val="00FD0B21"/>
    <w:rsid w:val="00FD0C60"/>
    <w:rsid w:val="00FD1924"/>
    <w:rsid w:val="00FD1C59"/>
    <w:rsid w:val="00FD4FC8"/>
    <w:rsid w:val="00FD5CC7"/>
    <w:rsid w:val="00FD66F0"/>
    <w:rsid w:val="00FD6CD3"/>
    <w:rsid w:val="00FD6EDB"/>
    <w:rsid w:val="00FD7BD7"/>
    <w:rsid w:val="00FD7FF9"/>
    <w:rsid w:val="00FE106D"/>
    <w:rsid w:val="00FE1C0C"/>
    <w:rsid w:val="00FE251B"/>
    <w:rsid w:val="00FE278E"/>
    <w:rsid w:val="00FE329E"/>
    <w:rsid w:val="00FE40A6"/>
    <w:rsid w:val="00FE4BA9"/>
    <w:rsid w:val="00FE520E"/>
    <w:rsid w:val="00FE6595"/>
    <w:rsid w:val="00FE6612"/>
    <w:rsid w:val="00FE6BCC"/>
    <w:rsid w:val="00FE6DE6"/>
    <w:rsid w:val="00FF0428"/>
    <w:rsid w:val="00FF21F5"/>
    <w:rsid w:val="00FF22E4"/>
    <w:rsid w:val="00FF231F"/>
    <w:rsid w:val="00FF2E60"/>
    <w:rsid w:val="00FF4395"/>
    <w:rsid w:val="00FF4815"/>
    <w:rsid w:val="00FF4E4C"/>
    <w:rsid w:val="00FF59B6"/>
    <w:rsid w:val="00FF6259"/>
    <w:rsid w:val="00FF6D58"/>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5609"/>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723B0B"/>
    <w:pPr>
      <w:spacing w:after="0"/>
      <w:ind w:left="720"/>
      <w:contextualSpacing/>
    </w:pPr>
    <w:rPr>
      <w:sz w:val="22"/>
    </w:r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列 Char"/>
    <w:basedOn w:val="DefaultParagraphFont"/>
    <w:link w:val="ListParagraph"/>
    <w:uiPriority w:val="99"/>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qFormat/>
    <w:rsid w:val="008E0988"/>
    <w:rPr>
      <w:sz w:val="16"/>
      <w:szCs w:val="16"/>
    </w:rPr>
  </w:style>
  <w:style w:type="paragraph" w:styleId="CommentText">
    <w:name w:val="annotation text"/>
    <w:basedOn w:val="Normal"/>
    <w:link w:val="CommentTextChar"/>
    <w:uiPriority w:val="99"/>
    <w:qFormat/>
    <w:rsid w:val="008E0988"/>
  </w:style>
  <w:style w:type="character" w:customStyle="1" w:styleId="CommentTextChar">
    <w:name w:val="Comment Text Char"/>
    <w:basedOn w:val="DefaultParagraphFont"/>
    <w:link w:val="CommentText"/>
    <w:uiPriority w:val="99"/>
    <w:qForma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uiPriority w:val="39"/>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table" w:customStyle="1" w:styleId="TableGrid1">
    <w:name w:val="Table Grid1"/>
    <w:basedOn w:val="TableNormal"/>
    <w:next w:val="TableGrid"/>
    <w:uiPriority w:val="39"/>
    <w:rsid w:val="00BD0830"/>
    <w:rPr>
      <w:rFonts w:ascii="Calibri" w:eastAsia="Malgun Gothic"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6A51E5"/>
    <w:rPr>
      <w:i/>
      <w:iCs/>
    </w:rPr>
  </w:style>
  <w:style w:type="paragraph" w:styleId="Caption">
    <w:name w:val="caption"/>
    <w:basedOn w:val="Normal"/>
    <w:next w:val="Normal"/>
    <w:qFormat/>
    <w:rsid w:val="00503B64"/>
    <w:pPr>
      <w:widowControl w:val="0"/>
      <w:overflowPunct w:val="0"/>
      <w:autoSpaceDE w:val="0"/>
      <w:autoSpaceDN w:val="0"/>
      <w:adjustRightInd w:val="0"/>
      <w:spacing w:line="360" w:lineRule="atLeast"/>
      <w:jc w:val="both"/>
      <w:textAlignment w:val="baseline"/>
    </w:pPr>
    <w:rPr>
      <w:rFonts w:ascii="Times New Roman" w:eastAsia="Gulim" w:hAnsi="Times New Roman" w:cs="Times New Roman"/>
      <w:b/>
      <w:bCs/>
      <w:szCs w:val="20"/>
      <w:lang w:eastAsia="ja-JP"/>
    </w:rPr>
  </w:style>
  <w:style w:type="paragraph" w:customStyle="1" w:styleId="Agreement">
    <w:name w:val="Agreement"/>
    <w:basedOn w:val="Normal"/>
    <w:next w:val="Doc-text2"/>
    <w:uiPriority w:val="99"/>
    <w:qFormat/>
    <w:rsid w:val="00BC6872"/>
    <w:pPr>
      <w:numPr>
        <w:numId w:val="2"/>
      </w:numPr>
      <w:spacing w:before="60" w:after="0"/>
    </w:pPr>
    <w:rPr>
      <w:rFonts w:cs="Times New Roman"/>
      <w:b/>
      <w:lang w:val="en-GB"/>
    </w:rPr>
  </w:style>
  <w:style w:type="numbering" w:customStyle="1" w:styleId="StyleBulletedSymbolsymbolLeft025Hanging01">
    <w:name w:val="Style Bulleted Symbol (symbol) Left:  0.25&quot; Hanging:  0.1"/>
    <w:basedOn w:val="NoList"/>
    <w:rsid w:val="00BC6872"/>
    <w:pPr>
      <w:numPr>
        <w:numId w:val="2"/>
      </w:numPr>
    </w:pPr>
  </w:style>
  <w:style w:type="table" w:styleId="GridTable5Dark-Accent5">
    <w:name w:val="Grid Table 5 Dark Accent 5"/>
    <w:basedOn w:val="TableNormal"/>
    <w:uiPriority w:val="50"/>
    <w:rsid w:val="00EF720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reference">
    <w:name w:val="reference"/>
    <w:basedOn w:val="Normal"/>
    <w:qFormat/>
    <w:rsid w:val="00FD0B21"/>
    <w:pPr>
      <w:jc w:val="both"/>
    </w:pPr>
    <w:rPr>
      <w:rFonts w:ascii="Times New Roman" w:hAnsi="Times New Roman" w:cs="Times New Roman"/>
    </w:rPr>
  </w:style>
  <w:style w:type="paragraph" w:customStyle="1" w:styleId="Reference0">
    <w:name w:val="Reference"/>
    <w:basedOn w:val="Normal"/>
    <w:link w:val="ReferenceChar"/>
    <w:qFormat/>
    <w:rsid w:val="00FD0B21"/>
    <w:pPr>
      <w:tabs>
        <w:tab w:val="left" w:pos="567"/>
      </w:tabs>
      <w:overflowPunct w:val="0"/>
      <w:autoSpaceDE w:val="0"/>
      <w:autoSpaceDN w:val="0"/>
      <w:adjustRightInd w:val="0"/>
      <w:spacing w:after="120" w:line="259" w:lineRule="auto"/>
      <w:ind w:left="567" w:hanging="567"/>
      <w:textAlignment w:val="baseline"/>
    </w:pPr>
    <w:rPr>
      <w:rFonts w:ascii="Times New Roman" w:eastAsia="SimSun" w:hAnsi="Times New Roman" w:cs="Times New Roman"/>
      <w:sz w:val="22"/>
      <w:szCs w:val="20"/>
      <w:lang w:val="en-GB" w:eastAsia="zh-CN"/>
    </w:rPr>
  </w:style>
  <w:style w:type="character" w:customStyle="1" w:styleId="ReferenceChar">
    <w:name w:val="Reference Char"/>
    <w:link w:val="Reference0"/>
    <w:rsid w:val="00FD0B21"/>
    <w:rPr>
      <w:sz w:val="22"/>
      <w:lang w:eastAsia="zh-CN"/>
    </w:rPr>
  </w:style>
  <w:style w:type="paragraph" w:styleId="NormalWeb">
    <w:name w:val="Normal (Web)"/>
    <w:basedOn w:val="Normal"/>
    <w:uiPriority w:val="99"/>
    <w:unhideWhenUsed/>
    <w:rsid w:val="00961BCE"/>
    <w:pPr>
      <w:spacing w:before="100" w:beforeAutospacing="1" w:after="100" w:afterAutospacing="1"/>
    </w:pPr>
    <w:rPr>
      <w:rFonts w:ascii="Gulim" w:eastAsia="Gulim" w:hAnsi="Gulim" w:cs="Gulim"/>
      <w:sz w:val="24"/>
      <w:lang w:eastAsia="ko-KR"/>
    </w:rPr>
  </w:style>
  <w:style w:type="character" w:customStyle="1" w:styleId="PLChar">
    <w:name w:val="PL Char"/>
    <w:link w:val="PL"/>
    <w:qFormat/>
    <w:rsid w:val="00395D18"/>
    <w:rPr>
      <w:rFonts w:ascii="Courier New" w:hAnsi="Courier New"/>
      <w:noProof/>
      <w:sz w:val="16"/>
      <w:lang w:eastAsia="en-US"/>
    </w:rPr>
  </w:style>
  <w:style w:type="character" w:customStyle="1" w:styleId="TALChar">
    <w:name w:val="TAL Char"/>
    <w:locked/>
    <w:rsid w:val="0098195C"/>
    <w:rPr>
      <w:rFonts w:ascii="Arial" w:hAnsi="Arial" w:cs="Times New Roman"/>
      <w:kern w:val="0"/>
      <w:sz w:val="18"/>
      <w:szCs w:val="20"/>
      <w:lang w:val="en-GB" w:eastAsia="en-US"/>
    </w:rPr>
  </w:style>
  <w:style w:type="paragraph" w:customStyle="1" w:styleId="Comments">
    <w:name w:val="Comments"/>
    <w:basedOn w:val="Normal"/>
    <w:link w:val="CommentsChar"/>
    <w:qFormat/>
    <w:rsid w:val="005E6831"/>
    <w:pPr>
      <w:spacing w:before="40" w:after="0"/>
    </w:pPr>
    <w:rPr>
      <w:rFonts w:cs="Times New Roman"/>
      <w:i/>
      <w:noProof/>
      <w:sz w:val="18"/>
      <w:lang w:val="en-GB"/>
    </w:rPr>
  </w:style>
  <w:style w:type="character" w:customStyle="1" w:styleId="CommentsChar">
    <w:name w:val="Comments Char"/>
    <w:link w:val="Comments"/>
    <w:qFormat/>
    <w:rsid w:val="005E6831"/>
    <w:rPr>
      <w:rFonts w:ascii="Arial" w:eastAsia="MS Mincho" w:hAnsi="Arial"/>
      <w:i/>
      <w:noProof/>
      <w:sz w:val="18"/>
      <w:szCs w:val="24"/>
    </w:rPr>
  </w:style>
  <w:style w:type="paragraph" w:customStyle="1" w:styleId="Proposal">
    <w:name w:val="Proposal"/>
    <w:basedOn w:val="Normal"/>
    <w:qFormat/>
    <w:rsid w:val="006E61A2"/>
    <w:pPr>
      <w:numPr>
        <w:numId w:val="6"/>
      </w:numPr>
      <w:tabs>
        <w:tab w:val="left" w:pos="1560"/>
      </w:tabs>
    </w:pPr>
    <w:rPr>
      <w:rFonts w:ascii="Times New Roman" w:eastAsia="Times New Roman" w:hAnsi="Times New Roman" w:cs="Times New Roman"/>
      <w:b/>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197828">
      <w:bodyDiv w:val="1"/>
      <w:marLeft w:val="0"/>
      <w:marRight w:val="0"/>
      <w:marTop w:val="0"/>
      <w:marBottom w:val="0"/>
      <w:divBdr>
        <w:top w:val="none" w:sz="0" w:space="0" w:color="auto"/>
        <w:left w:val="none" w:sz="0" w:space="0" w:color="auto"/>
        <w:bottom w:val="none" w:sz="0" w:space="0" w:color="auto"/>
        <w:right w:val="none" w:sz="0" w:space="0" w:color="auto"/>
      </w:divBdr>
      <w:divsChild>
        <w:div w:id="1200165028">
          <w:marLeft w:val="1210"/>
          <w:marRight w:val="0"/>
          <w:marTop w:val="60"/>
          <w:marBottom w:val="60"/>
          <w:divBdr>
            <w:top w:val="none" w:sz="0" w:space="0" w:color="auto"/>
            <w:left w:val="none" w:sz="0" w:space="0" w:color="auto"/>
            <w:bottom w:val="none" w:sz="0" w:space="0" w:color="auto"/>
            <w:right w:val="none" w:sz="0" w:space="0" w:color="auto"/>
          </w:divBdr>
        </w:div>
      </w:divsChild>
    </w:div>
    <w:div w:id="87969872">
      <w:bodyDiv w:val="1"/>
      <w:marLeft w:val="0"/>
      <w:marRight w:val="0"/>
      <w:marTop w:val="0"/>
      <w:marBottom w:val="0"/>
      <w:divBdr>
        <w:top w:val="none" w:sz="0" w:space="0" w:color="auto"/>
        <w:left w:val="none" w:sz="0" w:space="0" w:color="auto"/>
        <w:bottom w:val="none" w:sz="0" w:space="0" w:color="auto"/>
        <w:right w:val="none" w:sz="0" w:space="0" w:color="auto"/>
      </w:divBdr>
      <w:divsChild>
        <w:div w:id="355693242">
          <w:marLeft w:val="418"/>
          <w:marRight w:val="0"/>
          <w:marTop w:val="0"/>
          <w:marBottom w:val="0"/>
          <w:divBdr>
            <w:top w:val="none" w:sz="0" w:space="0" w:color="auto"/>
            <w:left w:val="none" w:sz="0" w:space="0" w:color="auto"/>
            <w:bottom w:val="none" w:sz="0" w:space="0" w:color="auto"/>
            <w:right w:val="none" w:sz="0" w:space="0" w:color="auto"/>
          </w:divBdr>
        </w:div>
      </w:divsChild>
    </w:div>
    <w:div w:id="89665515">
      <w:bodyDiv w:val="1"/>
      <w:marLeft w:val="0"/>
      <w:marRight w:val="0"/>
      <w:marTop w:val="0"/>
      <w:marBottom w:val="0"/>
      <w:divBdr>
        <w:top w:val="none" w:sz="0" w:space="0" w:color="auto"/>
        <w:left w:val="none" w:sz="0" w:space="0" w:color="auto"/>
        <w:bottom w:val="none" w:sz="0" w:space="0" w:color="auto"/>
        <w:right w:val="none" w:sz="0" w:space="0" w:color="auto"/>
      </w:divBdr>
    </w:div>
    <w:div w:id="101539273">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35534821">
      <w:bodyDiv w:val="1"/>
      <w:marLeft w:val="0"/>
      <w:marRight w:val="0"/>
      <w:marTop w:val="0"/>
      <w:marBottom w:val="0"/>
      <w:divBdr>
        <w:top w:val="none" w:sz="0" w:space="0" w:color="auto"/>
        <w:left w:val="none" w:sz="0" w:space="0" w:color="auto"/>
        <w:bottom w:val="none" w:sz="0" w:space="0" w:color="auto"/>
        <w:right w:val="none" w:sz="0" w:space="0" w:color="auto"/>
      </w:divBdr>
      <w:divsChild>
        <w:div w:id="872116869">
          <w:marLeft w:val="547"/>
          <w:marRight w:val="0"/>
          <w:marTop w:val="0"/>
          <w:marBottom w:val="0"/>
          <w:divBdr>
            <w:top w:val="none" w:sz="0" w:space="0" w:color="auto"/>
            <w:left w:val="none" w:sz="0" w:space="0" w:color="auto"/>
            <w:bottom w:val="none" w:sz="0" w:space="0" w:color="auto"/>
            <w:right w:val="none" w:sz="0" w:space="0" w:color="auto"/>
          </w:divBdr>
        </w:div>
      </w:divsChild>
    </w:div>
    <w:div w:id="168299977">
      <w:bodyDiv w:val="1"/>
      <w:marLeft w:val="0"/>
      <w:marRight w:val="0"/>
      <w:marTop w:val="0"/>
      <w:marBottom w:val="0"/>
      <w:divBdr>
        <w:top w:val="none" w:sz="0" w:space="0" w:color="auto"/>
        <w:left w:val="none" w:sz="0" w:space="0" w:color="auto"/>
        <w:bottom w:val="none" w:sz="0" w:space="0" w:color="auto"/>
        <w:right w:val="none" w:sz="0" w:space="0" w:color="auto"/>
      </w:divBdr>
      <w:divsChild>
        <w:div w:id="203441794">
          <w:marLeft w:val="590"/>
          <w:marRight w:val="0"/>
          <w:marTop w:val="60"/>
          <w:marBottom w:val="60"/>
          <w:divBdr>
            <w:top w:val="none" w:sz="0" w:space="0" w:color="auto"/>
            <w:left w:val="none" w:sz="0" w:space="0" w:color="auto"/>
            <w:bottom w:val="none" w:sz="0" w:space="0" w:color="auto"/>
            <w:right w:val="none" w:sz="0" w:space="0" w:color="auto"/>
          </w:divBdr>
        </w:div>
      </w:divsChild>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184253107">
      <w:bodyDiv w:val="1"/>
      <w:marLeft w:val="0"/>
      <w:marRight w:val="0"/>
      <w:marTop w:val="0"/>
      <w:marBottom w:val="0"/>
      <w:divBdr>
        <w:top w:val="none" w:sz="0" w:space="0" w:color="auto"/>
        <w:left w:val="none" w:sz="0" w:space="0" w:color="auto"/>
        <w:bottom w:val="none" w:sz="0" w:space="0" w:color="auto"/>
        <w:right w:val="none" w:sz="0" w:space="0" w:color="auto"/>
      </w:divBdr>
      <w:divsChild>
        <w:div w:id="363166936">
          <w:marLeft w:val="418"/>
          <w:marRight w:val="0"/>
          <w:marTop w:val="0"/>
          <w:marBottom w:val="0"/>
          <w:divBdr>
            <w:top w:val="none" w:sz="0" w:space="0" w:color="auto"/>
            <w:left w:val="none" w:sz="0" w:space="0" w:color="auto"/>
            <w:bottom w:val="none" w:sz="0" w:space="0" w:color="auto"/>
            <w:right w:val="none" w:sz="0" w:space="0" w:color="auto"/>
          </w:divBdr>
        </w:div>
      </w:divsChild>
    </w:div>
    <w:div w:id="187792943">
      <w:bodyDiv w:val="1"/>
      <w:marLeft w:val="0"/>
      <w:marRight w:val="0"/>
      <w:marTop w:val="0"/>
      <w:marBottom w:val="0"/>
      <w:divBdr>
        <w:top w:val="none" w:sz="0" w:space="0" w:color="auto"/>
        <w:left w:val="none" w:sz="0" w:space="0" w:color="auto"/>
        <w:bottom w:val="none" w:sz="0" w:space="0" w:color="auto"/>
        <w:right w:val="none" w:sz="0" w:space="0" w:color="auto"/>
      </w:divBdr>
    </w:div>
    <w:div w:id="228853697">
      <w:bodyDiv w:val="1"/>
      <w:marLeft w:val="0"/>
      <w:marRight w:val="0"/>
      <w:marTop w:val="0"/>
      <w:marBottom w:val="0"/>
      <w:divBdr>
        <w:top w:val="none" w:sz="0" w:space="0" w:color="auto"/>
        <w:left w:val="none" w:sz="0" w:space="0" w:color="auto"/>
        <w:bottom w:val="none" w:sz="0" w:space="0" w:color="auto"/>
        <w:right w:val="none" w:sz="0" w:space="0" w:color="auto"/>
      </w:divBdr>
      <w:divsChild>
        <w:div w:id="1314525637">
          <w:marLeft w:val="994"/>
          <w:marRight w:val="0"/>
          <w:marTop w:val="0"/>
          <w:marBottom w:val="0"/>
          <w:divBdr>
            <w:top w:val="none" w:sz="0" w:space="0" w:color="auto"/>
            <w:left w:val="none" w:sz="0" w:space="0" w:color="auto"/>
            <w:bottom w:val="none" w:sz="0" w:space="0" w:color="auto"/>
            <w:right w:val="none" w:sz="0" w:space="0" w:color="auto"/>
          </w:divBdr>
        </w:div>
        <w:div w:id="1604878182">
          <w:marLeft w:val="994"/>
          <w:marRight w:val="0"/>
          <w:marTop w:val="0"/>
          <w:marBottom w:val="0"/>
          <w:divBdr>
            <w:top w:val="none" w:sz="0" w:space="0" w:color="auto"/>
            <w:left w:val="none" w:sz="0" w:space="0" w:color="auto"/>
            <w:bottom w:val="none" w:sz="0" w:space="0" w:color="auto"/>
            <w:right w:val="none" w:sz="0" w:space="0" w:color="auto"/>
          </w:divBdr>
        </w:div>
        <w:div w:id="32779795">
          <w:marLeft w:val="1411"/>
          <w:marRight w:val="0"/>
          <w:marTop w:val="0"/>
          <w:marBottom w:val="0"/>
          <w:divBdr>
            <w:top w:val="none" w:sz="0" w:space="0" w:color="auto"/>
            <w:left w:val="none" w:sz="0" w:space="0" w:color="auto"/>
            <w:bottom w:val="none" w:sz="0" w:space="0" w:color="auto"/>
            <w:right w:val="none" w:sz="0" w:space="0" w:color="auto"/>
          </w:divBdr>
        </w:div>
        <w:div w:id="21591327">
          <w:marLeft w:val="994"/>
          <w:marRight w:val="0"/>
          <w:marTop w:val="0"/>
          <w:marBottom w:val="0"/>
          <w:divBdr>
            <w:top w:val="none" w:sz="0" w:space="0" w:color="auto"/>
            <w:left w:val="none" w:sz="0" w:space="0" w:color="auto"/>
            <w:bottom w:val="none" w:sz="0" w:space="0" w:color="auto"/>
            <w:right w:val="none" w:sz="0" w:space="0" w:color="auto"/>
          </w:divBdr>
        </w:div>
        <w:div w:id="414785115">
          <w:marLeft w:val="1411"/>
          <w:marRight w:val="0"/>
          <w:marTop w:val="0"/>
          <w:marBottom w:val="0"/>
          <w:divBdr>
            <w:top w:val="none" w:sz="0" w:space="0" w:color="auto"/>
            <w:left w:val="none" w:sz="0" w:space="0" w:color="auto"/>
            <w:bottom w:val="none" w:sz="0" w:space="0" w:color="auto"/>
            <w:right w:val="none" w:sz="0" w:space="0" w:color="auto"/>
          </w:divBdr>
        </w:div>
      </w:divsChild>
    </w:div>
    <w:div w:id="263542642">
      <w:bodyDiv w:val="1"/>
      <w:marLeft w:val="0"/>
      <w:marRight w:val="0"/>
      <w:marTop w:val="0"/>
      <w:marBottom w:val="0"/>
      <w:divBdr>
        <w:top w:val="none" w:sz="0" w:space="0" w:color="auto"/>
        <w:left w:val="none" w:sz="0" w:space="0" w:color="auto"/>
        <w:bottom w:val="none" w:sz="0" w:space="0" w:color="auto"/>
        <w:right w:val="none" w:sz="0" w:space="0" w:color="auto"/>
      </w:divBdr>
    </w:div>
    <w:div w:id="278076705">
      <w:bodyDiv w:val="1"/>
      <w:marLeft w:val="0"/>
      <w:marRight w:val="0"/>
      <w:marTop w:val="0"/>
      <w:marBottom w:val="0"/>
      <w:divBdr>
        <w:top w:val="none" w:sz="0" w:space="0" w:color="auto"/>
        <w:left w:val="none" w:sz="0" w:space="0" w:color="auto"/>
        <w:bottom w:val="none" w:sz="0" w:space="0" w:color="auto"/>
        <w:right w:val="none" w:sz="0" w:space="0" w:color="auto"/>
      </w:divBdr>
      <w:divsChild>
        <w:div w:id="1486314479">
          <w:marLeft w:val="547"/>
          <w:marRight w:val="0"/>
          <w:marTop w:val="0"/>
          <w:marBottom w:val="0"/>
          <w:divBdr>
            <w:top w:val="none" w:sz="0" w:space="0" w:color="auto"/>
            <w:left w:val="none" w:sz="0" w:space="0" w:color="auto"/>
            <w:bottom w:val="none" w:sz="0" w:space="0" w:color="auto"/>
            <w:right w:val="none" w:sz="0" w:space="0" w:color="auto"/>
          </w:divBdr>
        </w:div>
      </w:divsChild>
    </w:div>
    <w:div w:id="281424503">
      <w:bodyDiv w:val="1"/>
      <w:marLeft w:val="0"/>
      <w:marRight w:val="0"/>
      <w:marTop w:val="0"/>
      <w:marBottom w:val="0"/>
      <w:divBdr>
        <w:top w:val="none" w:sz="0" w:space="0" w:color="auto"/>
        <w:left w:val="none" w:sz="0" w:space="0" w:color="auto"/>
        <w:bottom w:val="none" w:sz="0" w:space="0" w:color="auto"/>
        <w:right w:val="none" w:sz="0" w:space="0" w:color="auto"/>
      </w:divBdr>
    </w:div>
    <w:div w:id="311377157">
      <w:bodyDiv w:val="1"/>
      <w:marLeft w:val="0"/>
      <w:marRight w:val="0"/>
      <w:marTop w:val="0"/>
      <w:marBottom w:val="0"/>
      <w:divBdr>
        <w:top w:val="none" w:sz="0" w:space="0" w:color="auto"/>
        <w:left w:val="none" w:sz="0" w:space="0" w:color="auto"/>
        <w:bottom w:val="none" w:sz="0" w:space="0" w:color="auto"/>
        <w:right w:val="none" w:sz="0" w:space="0" w:color="auto"/>
      </w:divBdr>
      <w:divsChild>
        <w:div w:id="441724158">
          <w:marLeft w:val="360"/>
          <w:marRight w:val="0"/>
          <w:marTop w:val="60"/>
          <w:marBottom w:val="60"/>
          <w:divBdr>
            <w:top w:val="none" w:sz="0" w:space="0" w:color="auto"/>
            <w:left w:val="none" w:sz="0" w:space="0" w:color="auto"/>
            <w:bottom w:val="none" w:sz="0" w:space="0" w:color="auto"/>
            <w:right w:val="none" w:sz="0" w:space="0" w:color="auto"/>
          </w:divBdr>
        </w:div>
      </w:divsChild>
    </w:div>
    <w:div w:id="333655295">
      <w:bodyDiv w:val="1"/>
      <w:marLeft w:val="0"/>
      <w:marRight w:val="0"/>
      <w:marTop w:val="0"/>
      <w:marBottom w:val="0"/>
      <w:divBdr>
        <w:top w:val="none" w:sz="0" w:space="0" w:color="auto"/>
        <w:left w:val="none" w:sz="0" w:space="0" w:color="auto"/>
        <w:bottom w:val="none" w:sz="0" w:space="0" w:color="auto"/>
        <w:right w:val="none" w:sz="0" w:space="0" w:color="auto"/>
      </w:divBdr>
      <w:divsChild>
        <w:div w:id="1181817671">
          <w:marLeft w:val="547"/>
          <w:marRight w:val="0"/>
          <w:marTop w:val="0"/>
          <w:marBottom w:val="0"/>
          <w:divBdr>
            <w:top w:val="none" w:sz="0" w:space="0" w:color="auto"/>
            <w:left w:val="none" w:sz="0" w:space="0" w:color="auto"/>
            <w:bottom w:val="none" w:sz="0" w:space="0" w:color="auto"/>
            <w:right w:val="none" w:sz="0" w:space="0" w:color="auto"/>
          </w:divBdr>
        </w:div>
      </w:divsChild>
    </w:div>
    <w:div w:id="345252044">
      <w:bodyDiv w:val="1"/>
      <w:marLeft w:val="0"/>
      <w:marRight w:val="0"/>
      <w:marTop w:val="0"/>
      <w:marBottom w:val="0"/>
      <w:divBdr>
        <w:top w:val="none" w:sz="0" w:space="0" w:color="auto"/>
        <w:left w:val="none" w:sz="0" w:space="0" w:color="auto"/>
        <w:bottom w:val="none" w:sz="0" w:space="0" w:color="auto"/>
        <w:right w:val="none" w:sz="0" w:space="0" w:color="auto"/>
      </w:divBdr>
      <w:divsChild>
        <w:div w:id="28070191">
          <w:marLeft w:val="547"/>
          <w:marRight w:val="0"/>
          <w:marTop w:val="0"/>
          <w:marBottom w:val="0"/>
          <w:divBdr>
            <w:top w:val="none" w:sz="0" w:space="0" w:color="auto"/>
            <w:left w:val="none" w:sz="0" w:space="0" w:color="auto"/>
            <w:bottom w:val="none" w:sz="0" w:space="0" w:color="auto"/>
            <w:right w:val="none" w:sz="0" w:space="0" w:color="auto"/>
          </w:divBdr>
        </w:div>
      </w:divsChild>
    </w:div>
    <w:div w:id="348991517">
      <w:bodyDiv w:val="1"/>
      <w:marLeft w:val="0"/>
      <w:marRight w:val="0"/>
      <w:marTop w:val="0"/>
      <w:marBottom w:val="0"/>
      <w:divBdr>
        <w:top w:val="none" w:sz="0" w:space="0" w:color="auto"/>
        <w:left w:val="none" w:sz="0" w:space="0" w:color="auto"/>
        <w:bottom w:val="none" w:sz="0" w:space="0" w:color="auto"/>
        <w:right w:val="none" w:sz="0" w:space="0" w:color="auto"/>
      </w:divBdr>
    </w:div>
    <w:div w:id="392847296">
      <w:bodyDiv w:val="1"/>
      <w:marLeft w:val="0"/>
      <w:marRight w:val="0"/>
      <w:marTop w:val="0"/>
      <w:marBottom w:val="0"/>
      <w:divBdr>
        <w:top w:val="none" w:sz="0" w:space="0" w:color="auto"/>
        <w:left w:val="none" w:sz="0" w:space="0" w:color="auto"/>
        <w:bottom w:val="none" w:sz="0" w:space="0" w:color="auto"/>
        <w:right w:val="none" w:sz="0" w:space="0" w:color="auto"/>
      </w:divBdr>
    </w:div>
    <w:div w:id="396173014">
      <w:bodyDiv w:val="1"/>
      <w:marLeft w:val="0"/>
      <w:marRight w:val="0"/>
      <w:marTop w:val="0"/>
      <w:marBottom w:val="0"/>
      <w:divBdr>
        <w:top w:val="none" w:sz="0" w:space="0" w:color="auto"/>
        <w:left w:val="none" w:sz="0" w:space="0" w:color="auto"/>
        <w:bottom w:val="none" w:sz="0" w:space="0" w:color="auto"/>
        <w:right w:val="none" w:sz="0" w:space="0" w:color="auto"/>
      </w:divBdr>
      <w:divsChild>
        <w:div w:id="1554925552">
          <w:marLeft w:val="547"/>
          <w:marRight w:val="0"/>
          <w:marTop w:val="0"/>
          <w:marBottom w:val="0"/>
          <w:divBdr>
            <w:top w:val="none" w:sz="0" w:space="0" w:color="auto"/>
            <w:left w:val="none" w:sz="0" w:space="0" w:color="auto"/>
            <w:bottom w:val="none" w:sz="0" w:space="0" w:color="auto"/>
            <w:right w:val="none" w:sz="0" w:space="0" w:color="auto"/>
          </w:divBdr>
        </w:div>
        <w:div w:id="1967811732">
          <w:marLeft w:val="547"/>
          <w:marRight w:val="0"/>
          <w:marTop w:val="0"/>
          <w:marBottom w:val="0"/>
          <w:divBdr>
            <w:top w:val="none" w:sz="0" w:space="0" w:color="auto"/>
            <w:left w:val="none" w:sz="0" w:space="0" w:color="auto"/>
            <w:bottom w:val="none" w:sz="0" w:space="0" w:color="auto"/>
            <w:right w:val="none" w:sz="0" w:space="0" w:color="auto"/>
          </w:divBdr>
        </w:div>
      </w:divsChild>
    </w:div>
    <w:div w:id="419182332">
      <w:bodyDiv w:val="1"/>
      <w:marLeft w:val="0"/>
      <w:marRight w:val="0"/>
      <w:marTop w:val="0"/>
      <w:marBottom w:val="0"/>
      <w:divBdr>
        <w:top w:val="none" w:sz="0" w:space="0" w:color="auto"/>
        <w:left w:val="none" w:sz="0" w:space="0" w:color="auto"/>
        <w:bottom w:val="none" w:sz="0" w:space="0" w:color="auto"/>
        <w:right w:val="none" w:sz="0" w:space="0" w:color="auto"/>
      </w:divBdr>
      <w:divsChild>
        <w:div w:id="2112624419">
          <w:marLeft w:val="547"/>
          <w:marRight w:val="0"/>
          <w:marTop w:val="0"/>
          <w:marBottom w:val="0"/>
          <w:divBdr>
            <w:top w:val="none" w:sz="0" w:space="0" w:color="auto"/>
            <w:left w:val="none" w:sz="0" w:space="0" w:color="auto"/>
            <w:bottom w:val="none" w:sz="0" w:space="0" w:color="auto"/>
            <w:right w:val="none" w:sz="0" w:space="0" w:color="auto"/>
          </w:divBdr>
        </w:div>
      </w:divsChild>
    </w:div>
    <w:div w:id="426657310">
      <w:bodyDiv w:val="1"/>
      <w:marLeft w:val="0"/>
      <w:marRight w:val="0"/>
      <w:marTop w:val="0"/>
      <w:marBottom w:val="0"/>
      <w:divBdr>
        <w:top w:val="none" w:sz="0" w:space="0" w:color="auto"/>
        <w:left w:val="none" w:sz="0" w:space="0" w:color="auto"/>
        <w:bottom w:val="none" w:sz="0" w:space="0" w:color="auto"/>
        <w:right w:val="none" w:sz="0" w:space="0" w:color="auto"/>
      </w:divBdr>
    </w:div>
    <w:div w:id="515849627">
      <w:bodyDiv w:val="1"/>
      <w:marLeft w:val="0"/>
      <w:marRight w:val="0"/>
      <w:marTop w:val="0"/>
      <w:marBottom w:val="0"/>
      <w:divBdr>
        <w:top w:val="none" w:sz="0" w:space="0" w:color="auto"/>
        <w:left w:val="none" w:sz="0" w:space="0" w:color="auto"/>
        <w:bottom w:val="none" w:sz="0" w:space="0" w:color="auto"/>
        <w:right w:val="none" w:sz="0" w:space="0" w:color="auto"/>
      </w:divBdr>
    </w:div>
    <w:div w:id="551040581">
      <w:bodyDiv w:val="1"/>
      <w:marLeft w:val="0"/>
      <w:marRight w:val="0"/>
      <w:marTop w:val="0"/>
      <w:marBottom w:val="0"/>
      <w:divBdr>
        <w:top w:val="none" w:sz="0" w:space="0" w:color="auto"/>
        <w:left w:val="none" w:sz="0" w:space="0" w:color="auto"/>
        <w:bottom w:val="none" w:sz="0" w:space="0" w:color="auto"/>
        <w:right w:val="none" w:sz="0" w:space="0" w:color="auto"/>
      </w:divBdr>
    </w:div>
    <w:div w:id="552622779">
      <w:bodyDiv w:val="1"/>
      <w:marLeft w:val="0"/>
      <w:marRight w:val="0"/>
      <w:marTop w:val="0"/>
      <w:marBottom w:val="0"/>
      <w:divBdr>
        <w:top w:val="none" w:sz="0" w:space="0" w:color="auto"/>
        <w:left w:val="none" w:sz="0" w:space="0" w:color="auto"/>
        <w:bottom w:val="none" w:sz="0" w:space="0" w:color="auto"/>
        <w:right w:val="none" w:sz="0" w:space="0" w:color="auto"/>
      </w:divBdr>
    </w:div>
    <w:div w:id="557209125">
      <w:bodyDiv w:val="1"/>
      <w:marLeft w:val="0"/>
      <w:marRight w:val="0"/>
      <w:marTop w:val="0"/>
      <w:marBottom w:val="0"/>
      <w:divBdr>
        <w:top w:val="none" w:sz="0" w:space="0" w:color="auto"/>
        <w:left w:val="none" w:sz="0" w:space="0" w:color="auto"/>
        <w:bottom w:val="none" w:sz="0" w:space="0" w:color="auto"/>
        <w:right w:val="none" w:sz="0" w:space="0" w:color="auto"/>
      </w:divBdr>
    </w:div>
    <w:div w:id="581992107">
      <w:bodyDiv w:val="1"/>
      <w:marLeft w:val="0"/>
      <w:marRight w:val="0"/>
      <w:marTop w:val="0"/>
      <w:marBottom w:val="0"/>
      <w:divBdr>
        <w:top w:val="none" w:sz="0" w:space="0" w:color="auto"/>
        <w:left w:val="none" w:sz="0" w:space="0" w:color="auto"/>
        <w:bottom w:val="none" w:sz="0" w:space="0" w:color="auto"/>
        <w:right w:val="none" w:sz="0" w:space="0" w:color="auto"/>
      </w:divBdr>
    </w:div>
    <w:div w:id="585961511">
      <w:bodyDiv w:val="1"/>
      <w:marLeft w:val="0"/>
      <w:marRight w:val="0"/>
      <w:marTop w:val="0"/>
      <w:marBottom w:val="0"/>
      <w:divBdr>
        <w:top w:val="none" w:sz="0" w:space="0" w:color="auto"/>
        <w:left w:val="none" w:sz="0" w:space="0" w:color="auto"/>
        <w:bottom w:val="none" w:sz="0" w:space="0" w:color="auto"/>
        <w:right w:val="none" w:sz="0" w:space="0" w:color="auto"/>
      </w:divBdr>
    </w:div>
    <w:div w:id="626349297">
      <w:bodyDiv w:val="1"/>
      <w:marLeft w:val="0"/>
      <w:marRight w:val="0"/>
      <w:marTop w:val="0"/>
      <w:marBottom w:val="0"/>
      <w:divBdr>
        <w:top w:val="none" w:sz="0" w:space="0" w:color="auto"/>
        <w:left w:val="none" w:sz="0" w:space="0" w:color="auto"/>
        <w:bottom w:val="none" w:sz="0" w:space="0" w:color="auto"/>
        <w:right w:val="none" w:sz="0" w:space="0" w:color="auto"/>
      </w:divBdr>
    </w:div>
    <w:div w:id="648484995">
      <w:bodyDiv w:val="1"/>
      <w:marLeft w:val="0"/>
      <w:marRight w:val="0"/>
      <w:marTop w:val="0"/>
      <w:marBottom w:val="0"/>
      <w:divBdr>
        <w:top w:val="none" w:sz="0" w:space="0" w:color="auto"/>
        <w:left w:val="none" w:sz="0" w:space="0" w:color="auto"/>
        <w:bottom w:val="none" w:sz="0" w:space="0" w:color="auto"/>
        <w:right w:val="none" w:sz="0" w:space="0" w:color="auto"/>
      </w:divBdr>
      <w:divsChild>
        <w:div w:id="357774831">
          <w:marLeft w:val="835"/>
          <w:marRight w:val="0"/>
          <w:marTop w:val="60"/>
          <w:marBottom w:val="60"/>
          <w:divBdr>
            <w:top w:val="none" w:sz="0" w:space="0" w:color="auto"/>
            <w:left w:val="none" w:sz="0" w:space="0" w:color="auto"/>
            <w:bottom w:val="none" w:sz="0" w:space="0" w:color="auto"/>
            <w:right w:val="none" w:sz="0" w:space="0" w:color="auto"/>
          </w:divBdr>
        </w:div>
      </w:divsChild>
    </w:div>
    <w:div w:id="649789949">
      <w:bodyDiv w:val="1"/>
      <w:marLeft w:val="0"/>
      <w:marRight w:val="0"/>
      <w:marTop w:val="0"/>
      <w:marBottom w:val="0"/>
      <w:divBdr>
        <w:top w:val="none" w:sz="0" w:space="0" w:color="auto"/>
        <w:left w:val="none" w:sz="0" w:space="0" w:color="auto"/>
        <w:bottom w:val="none" w:sz="0" w:space="0" w:color="auto"/>
        <w:right w:val="none" w:sz="0" w:space="0" w:color="auto"/>
      </w:divBdr>
      <w:divsChild>
        <w:div w:id="1786805952">
          <w:marLeft w:val="1166"/>
          <w:marRight w:val="0"/>
          <w:marTop w:val="0"/>
          <w:marBottom w:val="0"/>
          <w:divBdr>
            <w:top w:val="none" w:sz="0" w:space="0" w:color="auto"/>
            <w:left w:val="none" w:sz="0" w:space="0" w:color="auto"/>
            <w:bottom w:val="none" w:sz="0" w:space="0" w:color="auto"/>
            <w:right w:val="none" w:sz="0" w:space="0" w:color="auto"/>
          </w:divBdr>
        </w:div>
      </w:divsChild>
    </w:div>
    <w:div w:id="680737131">
      <w:bodyDiv w:val="1"/>
      <w:marLeft w:val="0"/>
      <w:marRight w:val="0"/>
      <w:marTop w:val="0"/>
      <w:marBottom w:val="0"/>
      <w:divBdr>
        <w:top w:val="none" w:sz="0" w:space="0" w:color="auto"/>
        <w:left w:val="none" w:sz="0" w:space="0" w:color="auto"/>
        <w:bottom w:val="none" w:sz="0" w:space="0" w:color="auto"/>
        <w:right w:val="none" w:sz="0" w:space="0" w:color="auto"/>
      </w:divBdr>
    </w:div>
    <w:div w:id="682976650">
      <w:bodyDiv w:val="1"/>
      <w:marLeft w:val="0"/>
      <w:marRight w:val="0"/>
      <w:marTop w:val="0"/>
      <w:marBottom w:val="0"/>
      <w:divBdr>
        <w:top w:val="none" w:sz="0" w:space="0" w:color="auto"/>
        <w:left w:val="none" w:sz="0" w:space="0" w:color="auto"/>
        <w:bottom w:val="none" w:sz="0" w:space="0" w:color="auto"/>
        <w:right w:val="none" w:sz="0" w:space="0" w:color="auto"/>
      </w:divBdr>
      <w:divsChild>
        <w:div w:id="1117286966">
          <w:marLeft w:val="547"/>
          <w:marRight w:val="0"/>
          <w:marTop w:val="0"/>
          <w:marBottom w:val="0"/>
          <w:divBdr>
            <w:top w:val="none" w:sz="0" w:space="0" w:color="auto"/>
            <w:left w:val="none" w:sz="0" w:space="0" w:color="auto"/>
            <w:bottom w:val="none" w:sz="0" w:space="0" w:color="auto"/>
            <w:right w:val="none" w:sz="0" w:space="0" w:color="auto"/>
          </w:divBdr>
        </w:div>
      </w:divsChild>
    </w:div>
    <w:div w:id="689843574">
      <w:bodyDiv w:val="1"/>
      <w:marLeft w:val="0"/>
      <w:marRight w:val="0"/>
      <w:marTop w:val="0"/>
      <w:marBottom w:val="0"/>
      <w:divBdr>
        <w:top w:val="none" w:sz="0" w:space="0" w:color="auto"/>
        <w:left w:val="none" w:sz="0" w:space="0" w:color="auto"/>
        <w:bottom w:val="none" w:sz="0" w:space="0" w:color="auto"/>
        <w:right w:val="none" w:sz="0" w:space="0" w:color="auto"/>
      </w:divBdr>
      <w:divsChild>
        <w:div w:id="1810514763">
          <w:marLeft w:val="360"/>
          <w:marRight w:val="0"/>
          <w:marTop w:val="60"/>
          <w:marBottom w:val="60"/>
          <w:divBdr>
            <w:top w:val="none" w:sz="0" w:space="0" w:color="auto"/>
            <w:left w:val="none" w:sz="0" w:space="0" w:color="auto"/>
            <w:bottom w:val="none" w:sz="0" w:space="0" w:color="auto"/>
            <w:right w:val="none" w:sz="0" w:space="0" w:color="auto"/>
          </w:divBdr>
        </w:div>
      </w:divsChild>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720634531">
      <w:bodyDiv w:val="1"/>
      <w:marLeft w:val="0"/>
      <w:marRight w:val="0"/>
      <w:marTop w:val="0"/>
      <w:marBottom w:val="0"/>
      <w:divBdr>
        <w:top w:val="none" w:sz="0" w:space="0" w:color="auto"/>
        <w:left w:val="none" w:sz="0" w:space="0" w:color="auto"/>
        <w:bottom w:val="none" w:sz="0" w:space="0" w:color="auto"/>
        <w:right w:val="none" w:sz="0" w:space="0" w:color="auto"/>
      </w:divBdr>
    </w:div>
    <w:div w:id="725908511">
      <w:bodyDiv w:val="1"/>
      <w:marLeft w:val="0"/>
      <w:marRight w:val="0"/>
      <w:marTop w:val="0"/>
      <w:marBottom w:val="0"/>
      <w:divBdr>
        <w:top w:val="none" w:sz="0" w:space="0" w:color="auto"/>
        <w:left w:val="none" w:sz="0" w:space="0" w:color="auto"/>
        <w:bottom w:val="none" w:sz="0" w:space="0" w:color="auto"/>
        <w:right w:val="none" w:sz="0" w:space="0" w:color="auto"/>
      </w:divBdr>
      <w:divsChild>
        <w:div w:id="1594052441">
          <w:marLeft w:val="965"/>
          <w:marRight w:val="0"/>
          <w:marTop w:val="60"/>
          <w:marBottom w:val="60"/>
          <w:divBdr>
            <w:top w:val="none" w:sz="0" w:space="0" w:color="auto"/>
            <w:left w:val="none" w:sz="0" w:space="0" w:color="auto"/>
            <w:bottom w:val="none" w:sz="0" w:space="0" w:color="auto"/>
            <w:right w:val="none" w:sz="0" w:space="0" w:color="auto"/>
          </w:divBdr>
        </w:div>
      </w:divsChild>
    </w:div>
    <w:div w:id="760955854">
      <w:bodyDiv w:val="1"/>
      <w:marLeft w:val="0"/>
      <w:marRight w:val="0"/>
      <w:marTop w:val="0"/>
      <w:marBottom w:val="0"/>
      <w:divBdr>
        <w:top w:val="none" w:sz="0" w:space="0" w:color="auto"/>
        <w:left w:val="none" w:sz="0" w:space="0" w:color="auto"/>
        <w:bottom w:val="none" w:sz="0" w:space="0" w:color="auto"/>
        <w:right w:val="none" w:sz="0" w:space="0" w:color="auto"/>
      </w:divBdr>
    </w:div>
    <w:div w:id="794178549">
      <w:bodyDiv w:val="1"/>
      <w:marLeft w:val="0"/>
      <w:marRight w:val="0"/>
      <w:marTop w:val="0"/>
      <w:marBottom w:val="0"/>
      <w:divBdr>
        <w:top w:val="none" w:sz="0" w:space="0" w:color="auto"/>
        <w:left w:val="none" w:sz="0" w:space="0" w:color="auto"/>
        <w:bottom w:val="none" w:sz="0" w:space="0" w:color="auto"/>
        <w:right w:val="none" w:sz="0" w:space="0" w:color="auto"/>
      </w:divBdr>
    </w:div>
    <w:div w:id="881944963">
      <w:bodyDiv w:val="1"/>
      <w:marLeft w:val="0"/>
      <w:marRight w:val="0"/>
      <w:marTop w:val="0"/>
      <w:marBottom w:val="0"/>
      <w:divBdr>
        <w:top w:val="none" w:sz="0" w:space="0" w:color="auto"/>
        <w:left w:val="none" w:sz="0" w:space="0" w:color="auto"/>
        <w:bottom w:val="none" w:sz="0" w:space="0" w:color="auto"/>
        <w:right w:val="none" w:sz="0" w:space="0" w:color="auto"/>
      </w:divBdr>
    </w:div>
    <w:div w:id="889727655">
      <w:bodyDiv w:val="1"/>
      <w:marLeft w:val="0"/>
      <w:marRight w:val="0"/>
      <w:marTop w:val="0"/>
      <w:marBottom w:val="0"/>
      <w:divBdr>
        <w:top w:val="none" w:sz="0" w:space="0" w:color="auto"/>
        <w:left w:val="none" w:sz="0" w:space="0" w:color="auto"/>
        <w:bottom w:val="none" w:sz="0" w:space="0" w:color="auto"/>
        <w:right w:val="none" w:sz="0" w:space="0" w:color="auto"/>
      </w:divBdr>
    </w:div>
    <w:div w:id="89531443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8925168">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27496248">
      <w:bodyDiv w:val="1"/>
      <w:marLeft w:val="0"/>
      <w:marRight w:val="0"/>
      <w:marTop w:val="0"/>
      <w:marBottom w:val="0"/>
      <w:divBdr>
        <w:top w:val="none" w:sz="0" w:space="0" w:color="auto"/>
        <w:left w:val="none" w:sz="0" w:space="0" w:color="auto"/>
        <w:bottom w:val="none" w:sz="0" w:space="0" w:color="auto"/>
        <w:right w:val="none" w:sz="0" w:space="0" w:color="auto"/>
      </w:divBdr>
      <w:divsChild>
        <w:div w:id="1388064055">
          <w:marLeft w:val="547"/>
          <w:marRight w:val="0"/>
          <w:marTop w:val="0"/>
          <w:marBottom w:val="0"/>
          <w:divBdr>
            <w:top w:val="none" w:sz="0" w:space="0" w:color="auto"/>
            <w:left w:val="none" w:sz="0" w:space="0" w:color="auto"/>
            <w:bottom w:val="none" w:sz="0" w:space="0" w:color="auto"/>
            <w:right w:val="none" w:sz="0" w:space="0" w:color="auto"/>
          </w:divBdr>
        </w:div>
      </w:divsChild>
    </w:div>
    <w:div w:id="937181786">
      <w:bodyDiv w:val="1"/>
      <w:marLeft w:val="0"/>
      <w:marRight w:val="0"/>
      <w:marTop w:val="0"/>
      <w:marBottom w:val="0"/>
      <w:divBdr>
        <w:top w:val="none" w:sz="0" w:space="0" w:color="auto"/>
        <w:left w:val="none" w:sz="0" w:space="0" w:color="auto"/>
        <w:bottom w:val="none" w:sz="0" w:space="0" w:color="auto"/>
        <w:right w:val="none" w:sz="0" w:space="0" w:color="auto"/>
      </w:divBdr>
    </w:div>
    <w:div w:id="953368719">
      <w:bodyDiv w:val="1"/>
      <w:marLeft w:val="0"/>
      <w:marRight w:val="0"/>
      <w:marTop w:val="0"/>
      <w:marBottom w:val="0"/>
      <w:divBdr>
        <w:top w:val="none" w:sz="0" w:space="0" w:color="auto"/>
        <w:left w:val="none" w:sz="0" w:space="0" w:color="auto"/>
        <w:bottom w:val="none" w:sz="0" w:space="0" w:color="auto"/>
        <w:right w:val="none" w:sz="0" w:space="0" w:color="auto"/>
      </w:divBdr>
    </w:div>
    <w:div w:id="979724894">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997684481">
      <w:bodyDiv w:val="1"/>
      <w:marLeft w:val="0"/>
      <w:marRight w:val="0"/>
      <w:marTop w:val="0"/>
      <w:marBottom w:val="0"/>
      <w:divBdr>
        <w:top w:val="none" w:sz="0" w:space="0" w:color="auto"/>
        <w:left w:val="none" w:sz="0" w:space="0" w:color="auto"/>
        <w:bottom w:val="none" w:sz="0" w:space="0" w:color="auto"/>
        <w:right w:val="none" w:sz="0" w:space="0" w:color="auto"/>
      </w:divBdr>
    </w:div>
    <w:div w:id="1068113586">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103961278">
      <w:bodyDiv w:val="1"/>
      <w:marLeft w:val="0"/>
      <w:marRight w:val="0"/>
      <w:marTop w:val="0"/>
      <w:marBottom w:val="0"/>
      <w:divBdr>
        <w:top w:val="none" w:sz="0" w:space="0" w:color="auto"/>
        <w:left w:val="none" w:sz="0" w:space="0" w:color="auto"/>
        <w:bottom w:val="none" w:sz="0" w:space="0" w:color="auto"/>
        <w:right w:val="none" w:sz="0" w:space="0" w:color="auto"/>
      </w:divBdr>
      <w:divsChild>
        <w:div w:id="747112744">
          <w:marLeft w:val="1210"/>
          <w:marRight w:val="0"/>
          <w:marTop w:val="60"/>
          <w:marBottom w:val="60"/>
          <w:divBdr>
            <w:top w:val="none" w:sz="0" w:space="0" w:color="auto"/>
            <w:left w:val="none" w:sz="0" w:space="0" w:color="auto"/>
            <w:bottom w:val="none" w:sz="0" w:space="0" w:color="auto"/>
            <w:right w:val="none" w:sz="0" w:space="0" w:color="auto"/>
          </w:divBdr>
        </w:div>
      </w:divsChild>
    </w:div>
    <w:div w:id="1142501297">
      <w:bodyDiv w:val="1"/>
      <w:marLeft w:val="0"/>
      <w:marRight w:val="0"/>
      <w:marTop w:val="0"/>
      <w:marBottom w:val="0"/>
      <w:divBdr>
        <w:top w:val="none" w:sz="0" w:space="0" w:color="auto"/>
        <w:left w:val="none" w:sz="0" w:space="0" w:color="auto"/>
        <w:bottom w:val="none" w:sz="0" w:space="0" w:color="auto"/>
        <w:right w:val="none" w:sz="0" w:space="0" w:color="auto"/>
      </w:divBdr>
      <w:divsChild>
        <w:div w:id="1019043415">
          <w:marLeft w:val="835"/>
          <w:marRight w:val="0"/>
          <w:marTop w:val="60"/>
          <w:marBottom w:val="60"/>
          <w:divBdr>
            <w:top w:val="none" w:sz="0" w:space="0" w:color="auto"/>
            <w:left w:val="none" w:sz="0" w:space="0" w:color="auto"/>
            <w:bottom w:val="none" w:sz="0" w:space="0" w:color="auto"/>
            <w:right w:val="none" w:sz="0" w:space="0" w:color="auto"/>
          </w:divBdr>
        </w:div>
      </w:divsChild>
    </w:div>
    <w:div w:id="1146821754">
      <w:bodyDiv w:val="1"/>
      <w:marLeft w:val="0"/>
      <w:marRight w:val="0"/>
      <w:marTop w:val="0"/>
      <w:marBottom w:val="0"/>
      <w:divBdr>
        <w:top w:val="none" w:sz="0" w:space="0" w:color="auto"/>
        <w:left w:val="none" w:sz="0" w:space="0" w:color="auto"/>
        <w:bottom w:val="none" w:sz="0" w:space="0" w:color="auto"/>
        <w:right w:val="none" w:sz="0" w:space="0" w:color="auto"/>
      </w:divBdr>
      <w:divsChild>
        <w:div w:id="773786600">
          <w:marLeft w:val="418"/>
          <w:marRight w:val="0"/>
          <w:marTop w:val="0"/>
          <w:marBottom w:val="0"/>
          <w:divBdr>
            <w:top w:val="none" w:sz="0" w:space="0" w:color="auto"/>
            <w:left w:val="none" w:sz="0" w:space="0" w:color="auto"/>
            <w:bottom w:val="none" w:sz="0" w:space="0" w:color="auto"/>
            <w:right w:val="none" w:sz="0" w:space="0" w:color="auto"/>
          </w:divBdr>
        </w:div>
      </w:divsChild>
    </w:div>
    <w:div w:id="1160778381">
      <w:bodyDiv w:val="1"/>
      <w:marLeft w:val="0"/>
      <w:marRight w:val="0"/>
      <w:marTop w:val="0"/>
      <w:marBottom w:val="0"/>
      <w:divBdr>
        <w:top w:val="none" w:sz="0" w:space="0" w:color="auto"/>
        <w:left w:val="none" w:sz="0" w:space="0" w:color="auto"/>
        <w:bottom w:val="none" w:sz="0" w:space="0" w:color="auto"/>
        <w:right w:val="none" w:sz="0" w:space="0" w:color="auto"/>
      </w:divBdr>
      <w:divsChild>
        <w:div w:id="1953392936">
          <w:marLeft w:val="547"/>
          <w:marRight w:val="0"/>
          <w:marTop w:val="0"/>
          <w:marBottom w:val="0"/>
          <w:divBdr>
            <w:top w:val="none" w:sz="0" w:space="0" w:color="auto"/>
            <w:left w:val="none" w:sz="0" w:space="0" w:color="auto"/>
            <w:bottom w:val="none" w:sz="0" w:space="0" w:color="auto"/>
            <w:right w:val="none" w:sz="0" w:space="0" w:color="auto"/>
          </w:divBdr>
        </w:div>
      </w:divsChild>
    </w:div>
    <w:div w:id="1162312289">
      <w:bodyDiv w:val="1"/>
      <w:marLeft w:val="0"/>
      <w:marRight w:val="0"/>
      <w:marTop w:val="0"/>
      <w:marBottom w:val="0"/>
      <w:divBdr>
        <w:top w:val="none" w:sz="0" w:space="0" w:color="auto"/>
        <w:left w:val="none" w:sz="0" w:space="0" w:color="auto"/>
        <w:bottom w:val="none" w:sz="0" w:space="0" w:color="auto"/>
        <w:right w:val="none" w:sz="0" w:space="0" w:color="auto"/>
      </w:divBdr>
    </w:div>
    <w:div w:id="118909996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51547873">
      <w:bodyDiv w:val="1"/>
      <w:marLeft w:val="0"/>
      <w:marRight w:val="0"/>
      <w:marTop w:val="0"/>
      <w:marBottom w:val="0"/>
      <w:divBdr>
        <w:top w:val="none" w:sz="0" w:space="0" w:color="auto"/>
        <w:left w:val="none" w:sz="0" w:space="0" w:color="auto"/>
        <w:bottom w:val="none" w:sz="0" w:space="0" w:color="auto"/>
        <w:right w:val="none" w:sz="0" w:space="0" w:color="auto"/>
      </w:divBdr>
    </w:div>
    <w:div w:id="1315061071">
      <w:bodyDiv w:val="1"/>
      <w:marLeft w:val="0"/>
      <w:marRight w:val="0"/>
      <w:marTop w:val="0"/>
      <w:marBottom w:val="0"/>
      <w:divBdr>
        <w:top w:val="none" w:sz="0" w:space="0" w:color="auto"/>
        <w:left w:val="none" w:sz="0" w:space="0" w:color="auto"/>
        <w:bottom w:val="none" w:sz="0" w:space="0" w:color="auto"/>
        <w:right w:val="none" w:sz="0" w:space="0" w:color="auto"/>
      </w:divBdr>
      <w:divsChild>
        <w:div w:id="528109415">
          <w:marLeft w:val="1166"/>
          <w:marRight w:val="0"/>
          <w:marTop w:val="0"/>
          <w:marBottom w:val="0"/>
          <w:divBdr>
            <w:top w:val="none" w:sz="0" w:space="0" w:color="auto"/>
            <w:left w:val="none" w:sz="0" w:space="0" w:color="auto"/>
            <w:bottom w:val="none" w:sz="0" w:space="0" w:color="auto"/>
            <w:right w:val="none" w:sz="0" w:space="0" w:color="auto"/>
          </w:divBdr>
        </w:div>
      </w:divsChild>
    </w:div>
    <w:div w:id="1341813770">
      <w:bodyDiv w:val="1"/>
      <w:marLeft w:val="0"/>
      <w:marRight w:val="0"/>
      <w:marTop w:val="0"/>
      <w:marBottom w:val="0"/>
      <w:divBdr>
        <w:top w:val="none" w:sz="0" w:space="0" w:color="auto"/>
        <w:left w:val="none" w:sz="0" w:space="0" w:color="auto"/>
        <w:bottom w:val="none" w:sz="0" w:space="0" w:color="auto"/>
        <w:right w:val="none" w:sz="0" w:space="0" w:color="auto"/>
      </w:divBdr>
    </w:div>
    <w:div w:id="1346058614">
      <w:bodyDiv w:val="1"/>
      <w:marLeft w:val="0"/>
      <w:marRight w:val="0"/>
      <w:marTop w:val="0"/>
      <w:marBottom w:val="0"/>
      <w:divBdr>
        <w:top w:val="none" w:sz="0" w:space="0" w:color="auto"/>
        <w:left w:val="none" w:sz="0" w:space="0" w:color="auto"/>
        <w:bottom w:val="none" w:sz="0" w:space="0" w:color="auto"/>
        <w:right w:val="none" w:sz="0" w:space="0" w:color="auto"/>
      </w:divBdr>
    </w:div>
    <w:div w:id="1391268627">
      <w:bodyDiv w:val="1"/>
      <w:marLeft w:val="0"/>
      <w:marRight w:val="0"/>
      <w:marTop w:val="0"/>
      <w:marBottom w:val="0"/>
      <w:divBdr>
        <w:top w:val="none" w:sz="0" w:space="0" w:color="auto"/>
        <w:left w:val="none" w:sz="0" w:space="0" w:color="auto"/>
        <w:bottom w:val="none" w:sz="0" w:space="0" w:color="auto"/>
        <w:right w:val="none" w:sz="0" w:space="0" w:color="auto"/>
      </w:divBdr>
    </w:div>
    <w:div w:id="1402947543">
      <w:bodyDiv w:val="1"/>
      <w:marLeft w:val="0"/>
      <w:marRight w:val="0"/>
      <w:marTop w:val="0"/>
      <w:marBottom w:val="0"/>
      <w:divBdr>
        <w:top w:val="none" w:sz="0" w:space="0" w:color="auto"/>
        <w:left w:val="none" w:sz="0" w:space="0" w:color="auto"/>
        <w:bottom w:val="none" w:sz="0" w:space="0" w:color="auto"/>
        <w:right w:val="none" w:sz="0" w:space="0" w:color="auto"/>
      </w:divBdr>
      <w:divsChild>
        <w:div w:id="1556621607">
          <w:marLeft w:val="1166"/>
          <w:marRight w:val="0"/>
          <w:marTop w:val="0"/>
          <w:marBottom w:val="0"/>
          <w:divBdr>
            <w:top w:val="none" w:sz="0" w:space="0" w:color="auto"/>
            <w:left w:val="none" w:sz="0" w:space="0" w:color="auto"/>
            <w:bottom w:val="none" w:sz="0" w:space="0" w:color="auto"/>
            <w:right w:val="none" w:sz="0" w:space="0" w:color="auto"/>
          </w:divBdr>
        </w:div>
      </w:divsChild>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455907215">
      <w:bodyDiv w:val="1"/>
      <w:marLeft w:val="0"/>
      <w:marRight w:val="0"/>
      <w:marTop w:val="0"/>
      <w:marBottom w:val="0"/>
      <w:divBdr>
        <w:top w:val="none" w:sz="0" w:space="0" w:color="auto"/>
        <w:left w:val="none" w:sz="0" w:space="0" w:color="auto"/>
        <w:bottom w:val="none" w:sz="0" w:space="0" w:color="auto"/>
        <w:right w:val="none" w:sz="0" w:space="0" w:color="auto"/>
      </w:divBdr>
    </w:div>
    <w:div w:id="1491823264">
      <w:bodyDiv w:val="1"/>
      <w:marLeft w:val="0"/>
      <w:marRight w:val="0"/>
      <w:marTop w:val="0"/>
      <w:marBottom w:val="0"/>
      <w:divBdr>
        <w:top w:val="none" w:sz="0" w:space="0" w:color="auto"/>
        <w:left w:val="none" w:sz="0" w:space="0" w:color="auto"/>
        <w:bottom w:val="none" w:sz="0" w:space="0" w:color="auto"/>
        <w:right w:val="none" w:sz="0" w:space="0" w:color="auto"/>
      </w:divBdr>
    </w:div>
    <w:div w:id="1518108511">
      <w:bodyDiv w:val="1"/>
      <w:marLeft w:val="0"/>
      <w:marRight w:val="0"/>
      <w:marTop w:val="0"/>
      <w:marBottom w:val="0"/>
      <w:divBdr>
        <w:top w:val="none" w:sz="0" w:space="0" w:color="auto"/>
        <w:left w:val="none" w:sz="0" w:space="0" w:color="auto"/>
        <w:bottom w:val="none" w:sz="0" w:space="0" w:color="auto"/>
        <w:right w:val="none" w:sz="0" w:space="0" w:color="auto"/>
      </w:divBdr>
      <w:divsChild>
        <w:div w:id="1667199216">
          <w:marLeft w:val="1166"/>
          <w:marRight w:val="0"/>
          <w:marTop w:val="0"/>
          <w:marBottom w:val="0"/>
          <w:divBdr>
            <w:top w:val="none" w:sz="0" w:space="0" w:color="auto"/>
            <w:left w:val="none" w:sz="0" w:space="0" w:color="auto"/>
            <w:bottom w:val="none" w:sz="0" w:space="0" w:color="auto"/>
            <w:right w:val="none" w:sz="0" w:space="0" w:color="auto"/>
          </w:divBdr>
        </w:div>
      </w:divsChild>
    </w:div>
    <w:div w:id="1518497985">
      <w:bodyDiv w:val="1"/>
      <w:marLeft w:val="0"/>
      <w:marRight w:val="0"/>
      <w:marTop w:val="0"/>
      <w:marBottom w:val="0"/>
      <w:divBdr>
        <w:top w:val="none" w:sz="0" w:space="0" w:color="auto"/>
        <w:left w:val="none" w:sz="0" w:space="0" w:color="auto"/>
        <w:bottom w:val="none" w:sz="0" w:space="0" w:color="auto"/>
        <w:right w:val="none" w:sz="0" w:space="0" w:color="auto"/>
      </w:divBdr>
    </w:div>
    <w:div w:id="1527254613">
      <w:bodyDiv w:val="1"/>
      <w:marLeft w:val="0"/>
      <w:marRight w:val="0"/>
      <w:marTop w:val="0"/>
      <w:marBottom w:val="0"/>
      <w:divBdr>
        <w:top w:val="none" w:sz="0" w:space="0" w:color="auto"/>
        <w:left w:val="none" w:sz="0" w:space="0" w:color="auto"/>
        <w:bottom w:val="none" w:sz="0" w:space="0" w:color="auto"/>
        <w:right w:val="none" w:sz="0" w:space="0" w:color="auto"/>
      </w:divBdr>
      <w:divsChild>
        <w:div w:id="379784645">
          <w:marLeft w:val="547"/>
          <w:marRight w:val="0"/>
          <w:marTop w:val="0"/>
          <w:marBottom w:val="0"/>
          <w:divBdr>
            <w:top w:val="none" w:sz="0" w:space="0" w:color="auto"/>
            <w:left w:val="none" w:sz="0" w:space="0" w:color="auto"/>
            <w:bottom w:val="none" w:sz="0" w:space="0" w:color="auto"/>
            <w:right w:val="none" w:sz="0" w:space="0" w:color="auto"/>
          </w:divBdr>
        </w:div>
      </w:divsChild>
    </w:div>
    <w:div w:id="1595364134">
      <w:bodyDiv w:val="1"/>
      <w:marLeft w:val="0"/>
      <w:marRight w:val="0"/>
      <w:marTop w:val="0"/>
      <w:marBottom w:val="0"/>
      <w:divBdr>
        <w:top w:val="none" w:sz="0" w:space="0" w:color="auto"/>
        <w:left w:val="none" w:sz="0" w:space="0" w:color="auto"/>
        <w:bottom w:val="none" w:sz="0" w:space="0" w:color="auto"/>
        <w:right w:val="none" w:sz="0" w:space="0" w:color="auto"/>
      </w:divBdr>
      <w:divsChild>
        <w:div w:id="645010889">
          <w:marLeft w:val="446"/>
          <w:marRight w:val="0"/>
          <w:marTop w:val="200"/>
          <w:marBottom w:val="0"/>
          <w:divBdr>
            <w:top w:val="none" w:sz="0" w:space="0" w:color="auto"/>
            <w:left w:val="none" w:sz="0" w:space="0" w:color="auto"/>
            <w:bottom w:val="none" w:sz="0" w:space="0" w:color="auto"/>
            <w:right w:val="none" w:sz="0" w:space="0" w:color="auto"/>
          </w:divBdr>
        </w:div>
      </w:divsChild>
    </w:div>
    <w:div w:id="1596982176">
      <w:bodyDiv w:val="1"/>
      <w:marLeft w:val="0"/>
      <w:marRight w:val="0"/>
      <w:marTop w:val="0"/>
      <w:marBottom w:val="0"/>
      <w:divBdr>
        <w:top w:val="none" w:sz="0" w:space="0" w:color="auto"/>
        <w:left w:val="none" w:sz="0" w:space="0" w:color="auto"/>
        <w:bottom w:val="none" w:sz="0" w:space="0" w:color="auto"/>
        <w:right w:val="none" w:sz="0" w:space="0" w:color="auto"/>
      </w:divBdr>
    </w:div>
    <w:div w:id="1625846326">
      <w:bodyDiv w:val="1"/>
      <w:marLeft w:val="0"/>
      <w:marRight w:val="0"/>
      <w:marTop w:val="0"/>
      <w:marBottom w:val="0"/>
      <w:divBdr>
        <w:top w:val="none" w:sz="0" w:space="0" w:color="auto"/>
        <w:left w:val="none" w:sz="0" w:space="0" w:color="auto"/>
        <w:bottom w:val="none" w:sz="0" w:space="0" w:color="auto"/>
        <w:right w:val="none" w:sz="0" w:space="0" w:color="auto"/>
      </w:divBdr>
    </w:div>
    <w:div w:id="1654025179">
      <w:bodyDiv w:val="1"/>
      <w:marLeft w:val="0"/>
      <w:marRight w:val="0"/>
      <w:marTop w:val="0"/>
      <w:marBottom w:val="0"/>
      <w:divBdr>
        <w:top w:val="none" w:sz="0" w:space="0" w:color="auto"/>
        <w:left w:val="none" w:sz="0" w:space="0" w:color="auto"/>
        <w:bottom w:val="none" w:sz="0" w:space="0" w:color="auto"/>
        <w:right w:val="none" w:sz="0" w:space="0" w:color="auto"/>
      </w:divBdr>
      <w:divsChild>
        <w:div w:id="1965456926">
          <w:marLeft w:val="835"/>
          <w:marRight w:val="0"/>
          <w:marTop w:val="60"/>
          <w:marBottom w:val="60"/>
          <w:divBdr>
            <w:top w:val="none" w:sz="0" w:space="0" w:color="auto"/>
            <w:left w:val="none" w:sz="0" w:space="0" w:color="auto"/>
            <w:bottom w:val="none" w:sz="0" w:space="0" w:color="auto"/>
            <w:right w:val="none" w:sz="0" w:space="0" w:color="auto"/>
          </w:divBdr>
        </w:div>
      </w:divsChild>
    </w:div>
    <w:div w:id="1671760444">
      <w:bodyDiv w:val="1"/>
      <w:marLeft w:val="0"/>
      <w:marRight w:val="0"/>
      <w:marTop w:val="0"/>
      <w:marBottom w:val="0"/>
      <w:divBdr>
        <w:top w:val="none" w:sz="0" w:space="0" w:color="auto"/>
        <w:left w:val="none" w:sz="0" w:space="0" w:color="auto"/>
        <w:bottom w:val="none" w:sz="0" w:space="0" w:color="auto"/>
        <w:right w:val="none" w:sz="0" w:space="0" w:color="auto"/>
      </w:divBdr>
      <w:divsChild>
        <w:div w:id="1612009610">
          <w:marLeft w:val="590"/>
          <w:marRight w:val="0"/>
          <w:marTop w:val="60"/>
          <w:marBottom w:val="60"/>
          <w:divBdr>
            <w:top w:val="none" w:sz="0" w:space="0" w:color="auto"/>
            <w:left w:val="none" w:sz="0" w:space="0" w:color="auto"/>
            <w:bottom w:val="none" w:sz="0" w:space="0" w:color="auto"/>
            <w:right w:val="none" w:sz="0" w:space="0" w:color="auto"/>
          </w:divBdr>
        </w:div>
      </w:divsChild>
    </w:div>
    <w:div w:id="1735541726">
      <w:bodyDiv w:val="1"/>
      <w:marLeft w:val="0"/>
      <w:marRight w:val="0"/>
      <w:marTop w:val="0"/>
      <w:marBottom w:val="0"/>
      <w:divBdr>
        <w:top w:val="none" w:sz="0" w:space="0" w:color="auto"/>
        <w:left w:val="none" w:sz="0" w:space="0" w:color="auto"/>
        <w:bottom w:val="none" w:sz="0" w:space="0" w:color="auto"/>
        <w:right w:val="none" w:sz="0" w:space="0" w:color="auto"/>
      </w:divBdr>
      <w:divsChild>
        <w:div w:id="1508861684">
          <w:marLeft w:val="1080"/>
          <w:marRight w:val="0"/>
          <w:marTop w:val="100"/>
          <w:marBottom w:val="0"/>
          <w:divBdr>
            <w:top w:val="none" w:sz="0" w:space="0" w:color="auto"/>
            <w:left w:val="none" w:sz="0" w:space="0" w:color="auto"/>
            <w:bottom w:val="none" w:sz="0" w:space="0" w:color="auto"/>
            <w:right w:val="none" w:sz="0" w:space="0" w:color="auto"/>
          </w:divBdr>
        </w:div>
        <w:div w:id="1635405129">
          <w:marLeft w:val="1080"/>
          <w:marRight w:val="0"/>
          <w:marTop w:val="100"/>
          <w:marBottom w:val="0"/>
          <w:divBdr>
            <w:top w:val="none" w:sz="0" w:space="0" w:color="auto"/>
            <w:left w:val="none" w:sz="0" w:space="0" w:color="auto"/>
            <w:bottom w:val="none" w:sz="0" w:space="0" w:color="auto"/>
            <w:right w:val="none" w:sz="0" w:space="0" w:color="auto"/>
          </w:divBdr>
        </w:div>
        <w:div w:id="1131097724">
          <w:marLeft w:val="1080"/>
          <w:marRight w:val="0"/>
          <w:marTop w:val="100"/>
          <w:marBottom w:val="0"/>
          <w:divBdr>
            <w:top w:val="none" w:sz="0" w:space="0" w:color="auto"/>
            <w:left w:val="none" w:sz="0" w:space="0" w:color="auto"/>
            <w:bottom w:val="none" w:sz="0" w:space="0" w:color="auto"/>
            <w:right w:val="none" w:sz="0" w:space="0" w:color="auto"/>
          </w:divBdr>
        </w:div>
        <w:div w:id="1617368079">
          <w:marLeft w:val="1080"/>
          <w:marRight w:val="0"/>
          <w:marTop w:val="100"/>
          <w:marBottom w:val="0"/>
          <w:divBdr>
            <w:top w:val="none" w:sz="0" w:space="0" w:color="auto"/>
            <w:left w:val="none" w:sz="0" w:space="0" w:color="auto"/>
            <w:bottom w:val="none" w:sz="0" w:space="0" w:color="auto"/>
            <w:right w:val="none" w:sz="0" w:space="0" w:color="auto"/>
          </w:divBdr>
        </w:div>
        <w:div w:id="138348247">
          <w:marLeft w:val="1080"/>
          <w:marRight w:val="0"/>
          <w:marTop w:val="100"/>
          <w:marBottom w:val="0"/>
          <w:divBdr>
            <w:top w:val="none" w:sz="0" w:space="0" w:color="auto"/>
            <w:left w:val="none" w:sz="0" w:space="0" w:color="auto"/>
            <w:bottom w:val="none" w:sz="0" w:space="0" w:color="auto"/>
            <w:right w:val="none" w:sz="0" w:space="0" w:color="auto"/>
          </w:divBdr>
        </w:div>
      </w:divsChild>
    </w:div>
    <w:div w:id="1747530257">
      <w:bodyDiv w:val="1"/>
      <w:marLeft w:val="0"/>
      <w:marRight w:val="0"/>
      <w:marTop w:val="0"/>
      <w:marBottom w:val="0"/>
      <w:divBdr>
        <w:top w:val="none" w:sz="0" w:space="0" w:color="auto"/>
        <w:left w:val="none" w:sz="0" w:space="0" w:color="auto"/>
        <w:bottom w:val="none" w:sz="0" w:space="0" w:color="auto"/>
        <w:right w:val="none" w:sz="0" w:space="0" w:color="auto"/>
      </w:divBdr>
    </w:div>
    <w:div w:id="1852790486">
      <w:bodyDiv w:val="1"/>
      <w:marLeft w:val="0"/>
      <w:marRight w:val="0"/>
      <w:marTop w:val="0"/>
      <w:marBottom w:val="0"/>
      <w:divBdr>
        <w:top w:val="none" w:sz="0" w:space="0" w:color="auto"/>
        <w:left w:val="none" w:sz="0" w:space="0" w:color="auto"/>
        <w:bottom w:val="none" w:sz="0" w:space="0" w:color="auto"/>
        <w:right w:val="none" w:sz="0" w:space="0" w:color="auto"/>
      </w:divBdr>
    </w:div>
    <w:div w:id="1913536803">
      <w:bodyDiv w:val="1"/>
      <w:marLeft w:val="0"/>
      <w:marRight w:val="0"/>
      <w:marTop w:val="0"/>
      <w:marBottom w:val="0"/>
      <w:divBdr>
        <w:top w:val="none" w:sz="0" w:space="0" w:color="auto"/>
        <w:left w:val="none" w:sz="0" w:space="0" w:color="auto"/>
        <w:bottom w:val="none" w:sz="0" w:space="0" w:color="auto"/>
        <w:right w:val="none" w:sz="0" w:space="0" w:color="auto"/>
      </w:divBdr>
      <w:divsChild>
        <w:div w:id="704062533">
          <w:marLeft w:val="547"/>
          <w:marRight w:val="0"/>
          <w:marTop w:val="0"/>
          <w:marBottom w:val="0"/>
          <w:divBdr>
            <w:top w:val="none" w:sz="0" w:space="0" w:color="auto"/>
            <w:left w:val="none" w:sz="0" w:space="0" w:color="auto"/>
            <w:bottom w:val="none" w:sz="0" w:space="0" w:color="auto"/>
            <w:right w:val="none" w:sz="0" w:space="0" w:color="auto"/>
          </w:divBdr>
        </w:div>
      </w:divsChild>
    </w:div>
    <w:div w:id="1946568912">
      <w:bodyDiv w:val="1"/>
      <w:marLeft w:val="0"/>
      <w:marRight w:val="0"/>
      <w:marTop w:val="0"/>
      <w:marBottom w:val="0"/>
      <w:divBdr>
        <w:top w:val="none" w:sz="0" w:space="0" w:color="auto"/>
        <w:left w:val="none" w:sz="0" w:space="0" w:color="auto"/>
        <w:bottom w:val="none" w:sz="0" w:space="0" w:color="auto"/>
        <w:right w:val="none" w:sz="0" w:space="0" w:color="auto"/>
      </w:divBdr>
    </w:div>
    <w:div w:id="1966814745">
      <w:bodyDiv w:val="1"/>
      <w:marLeft w:val="0"/>
      <w:marRight w:val="0"/>
      <w:marTop w:val="0"/>
      <w:marBottom w:val="0"/>
      <w:divBdr>
        <w:top w:val="none" w:sz="0" w:space="0" w:color="auto"/>
        <w:left w:val="none" w:sz="0" w:space="0" w:color="auto"/>
        <w:bottom w:val="none" w:sz="0" w:space="0" w:color="auto"/>
        <w:right w:val="none" w:sz="0" w:space="0" w:color="auto"/>
      </w:divBdr>
    </w:div>
    <w:div w:id="1976449654">
      <w:bodyDiv w:val="1"/>
      <w:marLeft w:val="0"/>
      <w:marRight w:val="0"/>
      <w:marTop w:val="0"/>
      <w:marBottom w:val="0"/>
      <w:divBdr>
        <w:top w:val="none" w:sz="0" w:space="0" w:color="auto"/>
        <w:left w:val="none" w:sz="0" w:space="0" w:color="auto"/>
        <w:bottom w:val="none" w:sz="0" w:space="0" w:color="auto"/>
        <w:right w:val="none" w:sz="0" w:space="0" w:color="auto"/>
      </w:divBdr>
      <w:divsChild>
        <w:div w:id="1285623879">
          <w:marLeft w:val="547"/>
          <w:marRight w:val="0"/>
          <w:marTop w:val="0"/>
          <w:marBottom w:val="0"/>
          <w:divBdr>
            <w:top w:val="none" w:sz="0" w:space="0" w:color="auto"/>
            <w:left w:val="none" w:sz="0" w:space="0" w:color="auto"/>
            <w:bottom w:val="none" w:sz="0" w:space="0" w:color="auto"/>
            <w:right w:val="none" w:sz="0" w:space="0" w:color="auto"/>
          </w:divBdr>
        </w:div>
      </w:divsChild>
    </w:div>
    <w:div w:id="2023239909">
      <w:bodyDiv w:val="1"/>
      <w:marLeft w:val="0"/>
      <w:marRight w:val="0"/>
      <w:marTop w:val="0"/>
      <w:marBottom w:val="0"/>
      <w:divBdr>
        <w:top w:val="none" w:sz="0" w:space="0" w:color="auto"/>
        <w:left w:val="none" w:sz="0" w:space="0" w:color="auto"/>
        <w:bottom w:val="none" w:sz="0" w:space="0" w:color="auto"/>
        <w:right w:val="none" w:sz="0" w:space="0" w:color="auto"/>
      </w:divBdr>
      <w:divsChild>
        <w:div w:id="938874020">
          <w:marLeft w:val="965"/>
          <w:marRight w:val="0"/>
          <w:marTop w:val="60"/>
          <w:marBottom w:val="60"/>
          <w:divBdr>
            <w:top w:val="none" w:sz="0" w:space="0" w:color="auto"/>
            <w:left w:val="none" w:sz="0" w:space="0" w:color="auto"/>
            <w:bottom w:val="none" w:sz="0" w:space="0" w:color="auto"/>
            <w:right w:val="none" w:sz="0" w:space="0" w:color="auto"/>
          </w:divBdr>
        </w:div>
      </w:divsChild>
    </w:div>
    <w:div w:id="2037460098">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 w:id="2070225408">
      <w:bodyDiv w:val="1"/>
      <w:marLeft w:val="0"/>
      <w:marRight w:val="0"/>
      <w:marTop w:val="0"/>
      <w:marBottom w:val="0"/>
      <w:divBdr>
        <w:top w:val="none" w:sz="0" w:space="0" w:color="auto"/>
        <w:left w:val="none" w:sz="0" w:space="0" w:color="auto"/>
        <w:bottom w:val="none" w:sz="0" w:space="0" w:color="auto"/>
        <w:right w:val="none" w:sz="0" w:space="0" w:color="auto"/>
      </w:divBdr>
      <w:divsChild>
        <w:div w:id="1478767166">
          <w:marLeft w:val="418"/>
          <w:marRight w:val="0"/>
          <w:marTop w:val="0"/>
          <w:marBottom w:val="0"/>
          <w:divBdr>
            <w:top w:val="none" w:sz="0" w:space="0" w:color="auto"/>
            <w:left w:val="none" w:sz="0" w:space="0" w:color="auto"/>
            <w:bottom w:val="none" w:sz="0" w:space="0" w:color="auto"/>
            <w:right w:val="none" w:sz="0" w:space="0" w:color="auto"/>
          </w:divBdr>
        </w:div>
      </w:divsChild>
    </w:div>
    <w:div w:id="2085060571">
      <w:bodyDiv w:val="1"/>
      <w:marLeft w:val="0"/>
      <w:marRight w:val="0"/>
      <w:marTop w:val="0"/>
      <w:marBottom w:val="0"/>
      <w:divBdr>
        <w:top w:val="none" w:sz="0" w:space="0" w:color="auto"/>
        <w:left w:val="none" w:sz="0" w:space="0" w:color="auto"/>
        <w:bottom w:val="none" w:sz="0" w:space="0" w:color="auto"/>
        <w:right w:val="none" w:sz="0" w:space="0" w:color="auto"/>
      </w:divBdr>
    </w:div>
    <w:div w:id="2142308627">
      <w:bodyDiv w:val="1"/>
      <w:marLeft w:val="0"/>
      <w:marRight w:val="0"/>
      <w:marTop w:val="0"/>
      <w:marBottom w:val="0"/>
      <w:divBdr>
        <w:top w:val="none" w:sz="0" w:space="0" w:color="auto"/>
        <w:left w:val="none" w:sz="0" w:space="0" w:color="auto"/>
        <w:bottom w:val="none" w:sz="0" w:space="0" w:color="auto"/>
        <w:right w:val="none" w:sz="0" w:space="0" w:color="auto"/>
      </w:divBdr>
      <w:divsChild>
        <w:div w:id="731386133">
          <w:marLeft w:val="547"/>
          <w:marRight w:val="0"/>
          <w:marTop w:val="60"/>
          <w:marBottom w:val="0"/>
          <w:divBdr>
            <w:top w:val="none" w:sz="0" w:space="0" w:color="auto"/>
            <w:left w:val="none" w:sz="0" w:space="0" w:color="auto"/>
            <w:bottom w:val="none" w:sz="0" w:space="0" w:color="auto"/>
            <w:right w:val="none" w:sz="0" w:space="0" w:color="auto"/>
          </w:divBdr>
        </w:div>
        <w:div w:id="1667396365">
          <w:marLeft w:val="547"/>
          <w:marRight w:val="0"/>
          <w:marTop w:val="60"/>
          <w:marBottom w:val="0"/>
          <w:divBdr>
            <w:top w:val="none" w:sz="0" w:space="0" w:color="auto"/>
            <w:left w:val="none" w:sz="0" w:space="0" w:color="auto"/>
            <w:bottom w:val="none" w:sz="0" w:space="0" w:color="auto"/>
            <w:right w:val="none" w:sz="0" w:space="0" w:color="auto"/>
          </w:divBdr>
        </w:div>
        <w:div w:id="487984926">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230A9B-1206-49C3-A462-B6C954CAF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1176</Words>
  <Characters>6706</Characters>
  <Application>Microsoft Office Word</Application>
  <DocSecurity>0</DocSecurity>
  <Lines>55</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
  <LinksUpToDate>false</LinksUpToDate>
  <CharactersWithSpaces>7867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2024-03-28T02:19:00Z</dcterms:created>
  <dcterms:modified xsi:type="dcterms:W3CDTF">2025-03-28T05:37:00Z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